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F" w:rsidRPr="000C09D3" w:rsidRDefault="00BD79C6" w:rsidP="00BD79C6">
      <w:pPr>
        <w:shd w:val="clear" w:color="auto" w:fill="92D050"/>
        <w:jc w:val="center"/>
        <w:rPr>
          <w:rFonts w:ascii="Candara" w:hAnsi="Candara"/>
          <w:b/>
          <w:sz w:val="36"/>
        </w:rPr>
      </w:pPr>
      <w:r w:rsidRPr="000C09D3">
        <w:rPr>
          <w:rFonts w:ascii="Candara" w:hAnsi="Candara"/>
          <w:b/>
          <w:sz w:val="36"/>
        </w:rPr>
        <w:t>CARTERA DE INVERSIÓN</w:t>
      </w:r>
    </w:p>
    <w:p w:rsidR="00BD79C6" w:rsidRPr="002D4AC1" w:rsidRDefault="00BD79C6" w:rsidP="00BD79C6">
      <w:pPr>
        <w:jc w:val="both"/>
        <w:rPr>
          <w:rFonts w:ascii="Candara" w:hAnsi="Candara"/>
          <w:sz w:val="24"/>
        </w:rPr>
      </w:pPr>
    </w:p>
    <w:p w:rsidR="00BD79C6" w:rsidRPr="002D4AC1" w:rsidRDefault="00BD79C6" w:rsidP="00BD79C6">
      <w:pPr>
        <w:jc w:val="both"/>
        <w:rPr>
          <w:rFonts w:ascii="Candara" w:hAnsi="Candara"/>
          <w:sz w:val="24"/>
        </w:rPr>
      </w:pPr>
      <w:r w:rsidRPr="000C09D3">
        <w:rPr>
          <w:rFonts w:ascii="Candara" w:hAnsi="Candara"/>
          <w:b/>
          <w:sz w:val="24"/>
        </w:rPr>
        <w:t>El artículo 34 fracción III de la Ley Federal de Presupuesto y Responsabilidad Hacendaria  y el 46 fracción V de su Reglamento</w:t>
      </w:r>
      <w:r w:rsidRPr="002D4AC1">
        <w:rPr>
          <w:rFonts w:ascii="Candara" w:hAnsi="Candara"/>
          <w:sz w:val="24"/>
        </w:rPr>
        <w:t xml:space="preserve"> establecen el procedimiento que las dependencias y entidades de la Administración Pública Federal deberán observar para efecto de la programa</w:t>
      </w:r>
      <w:r w:rsidR="008341BD" w:rsidRPr="002D4AC1">
        <w:rPr>
          <w:rFonts w:ascii="Candara" w:hAnsi="Candara"/>
          <w:sz w:val="24"/>
        </w:rPr>
        <w:t xml:space="preserve">r de recursos </w:t>
      </w:r>
      <w:r w:rsidRPr="002D4AC1">
        <w:rPr>
          <w:rFonts w:ascii="Candara" w:hAnsi="Candara"/>
          <w:sz w:val="24"/>
        </w:rPr>
        <w:t>a programas y proyectos de inversión.</w:t>
      </w:r>
    </w:p>
    <w:p w:rsidR="00BD79C6" w:rsidRPr="002D4AC1" w:rsidRDefault="00BD79C6" w:rsidP="00BD79C6">
      <w:pPr>
        <w:jc w:val="both"/>
        <w:rPr>
          <w:rFonts w:ascii="Candara" w:hAnsi="Candara"/>
          <w:sz w:val="24"/>
        </w:rPr>
      </w:pPr>
    </w:p>
    <w:p w:rsidR="00D10619" w:rsidRDefault="00097AEE" w:rsidP="00D10619">
      <w:pPr>
        <w:jc w:val="both"/>
        <w:rPr>
          <w:rFonts w:ascii="Candara" w:hAnsi="Candara"/>
          <w:sz w:val="24"/>
        </w:rPr>
      </w:pPr>
      <w:r w:rsidRPr="002D4AC1">
        <w:rPr>
          <w:rFonts w:ascii="Candara" w:hAnsi="Candara"/>
          <w:sz w:val="24"/>
        </w:rPr>
        <w:t>El gasto de inversión incluye la</w:t>
      </w:r>
      <w:r w:rsidR="00257652" w:rsidRPr="002D4AC1">
        <w:rPr>
          <w:rFonts w:ascii="Candara" w:hAnsi="Candara"/>
          <w:sz w:val="24"/>
        </w:rPr>
        <w:t>s asignaciones destinadas a la adquisición de toda clase de bienes muebles e inmuebles requeridos en el desempeño de las actividades de los entes públicos; así como todas aquellas destinadas a la realización de obras por contrato y proyectos de con</w:t>
      </w:r>
      <w:r w:rsidR="00D10619">
        <w:rPr>
          <w:rFonts w:ascii="Candara" w:hAnsi="Candara"/>
          <w:sz w:val="24"/>
        </w:rPr>
        <w:t xml:space="preserve">strucción o mantenimiento mayor (Recursos asignados en los capítulos </w:t>
      </w:r>
      <w:r w:rsidR="00D10619" w:rsidRPr="00D10619">
        <w:rPr>
          <w:rFonts w:ascii="Candara" w:hAnsi="Candara"/>
          <w:sz w:val="24"/>
        </w:rPr>
        <w:t xml:space="preserve">5000 Bienes Muebles, Inmuebles, e </w:t>
      </w:r>
      <w:r w:rsidR="00D10619">
        <w:rPr>
          <w:rFonts w:ascii="Candara" w:hAnsi="Candara"/>
          <w:sz w:val="24"/>
        </w:rPr>
        <w:t>Intangibles</w:t>
      </w:r>
      <w:r w:rsidR="00D10619" w:rsidRPr="00D10619">
        <w:rPr>
          <w:rFonts w:ascii="Candara" w:hAnsi="Candara"/>
          <w:sz w:val="24"/>
        </w:rPr>
        <w:t xml:space="preserve"> y 6000 Inversión Pública</w:t>
      </w:r>
      <w:r w:rsidR="00D10619">
        <w:rPr>
          <w:rFonts w:ascii="Candara" w:hAnsi="Candara"/>
          <w:sz w:val="24"/>
        </w:rPr>
        <w:t>)</w:t>
      </w:r>
    </w:p>
    <w:p w:rsidR="00D10619" w:rsidRPr="002D4AC1" w:rsidRDefault="00D10619" w:rsidP="00BD79C6">
      <w:pPr>
        <w:jc w:val="both"/>
        <w:rPr>
          <w:rFonts w:ascii="Candara" w:hAnsi="Candara"/>
          <w:sz w:val="24"/>
        </w:rPr>
      </w:pPr>
    </w:p>
    <w:p w:rsidR="00BD79C6" w:rsidRPr="002D4AC1" w:rsidRDefault="00BD79C6" w:rsidP="00BD79C6">
      <w:pPr>
        <w:jc w:val="both"/>
        <w:rPr>
          <w:rFonts w:ascii="Candara" w:hAnsi="Candara"/>
          <w:sz w:val="24"/>
          <w:u w:val="single"/>
        </w:rPr>
      </w:pPr>
      <w:r w:rsidRPr="002D4AC1">
        <w:rPr>
          <w:rFonts w:ascii="Candara" w:hAnsi="Candara"/>
          <w:sz w:val="24"/>
        </w:rPr>
        <w:t xml:space="preserve">En estas disposiciones se establece que cada programa y proyecto de inversión que pretendan realizar </w:t>
      </w:r>
      <w:r w:rsidR="008341BD" w:rsidRPr="002D4AC1">
        <w:rPr>
          <w:rFonts w:ascii="Candara" w:hAnsi="Candara"/>
          <w:sz w:val="24"/>
        </w:rPr>
        <w:t xml:space="preserve">las dependencias y entidades de la Administración Pública Federal </w:t>
      </w:r>
      <w:r w:rsidRPr="002D4AC1">
        <w:rPr>
          <w:rFonts w:ascii="Candara" w:hAnsi="Candara"/>
          <w:sz w:val="24"/>
        </w:rPr>
        <w:t>deberá quedar previamente registrado en la Unidad de Inversiones de la SHCP con una clave</w:t>
      </w:r>
      <w:r w:rsidR="00833661" w:rsidRPr="002D4AC1">
        <w:rPr>
          <w:rFonts w:ascii="Candara" w:hAnsi="Candara"/>
          <w:sz w:val="24"/>
        </w:rPr>
        <w:t xml:space="preserve"> de registro</w:t>
      </w:r>
      <w:r w:rsidRPr="002D4AC1">
        <w:rPr>
          <w:rFonts w:ascii="Candara" w:hAnsi="Candara"/>
          <w:sz w:val="24"/>
        </w:rPr>
        <w:t>.</w:t>
      </w:r>
      <w:r w:rsidR="00D645C3" w:rsidRPr="002D4AC1">
        <w:rPr>
          <w:rFonts w:ascii="Candara" w:hAnsi="Candara"/>
          <w:sz w:val="24"/>
        </w:rPr>
        <w:t xml:space="preserve"> O sea, </w:t>
      </w:r>
      <w:r w:rsidR="00D645C3" w:rsidRPr="002D4AC1">
        <w:rPr>
          <w:rFonts w:ascii="Candara" w:hAnsi="Candara"/>
          <w:sz w:val="24"/>
          <w:highlight w:val="yellow"/>
          <w:u w:val="single"/>
        </w:rPr>
        <w:t>no se puede adquirir ningún bien o ejecutar algún proyecto de construcción si no se encuentra registrado y actualizado el registro en la Cartera de Inversiones de la SHCP.</w:t>
      </w:r>
    </w:p>
    <w:p w:rsidR="00BD79C6" w:rsidRPr="002D4AC1" w:rsidRDefault="00BD79C6" w:rsidP="00BD79C6">
      <w:pPr>
        <w:jc w:val="both"/>
        <w:rPr>
          <w:rFonts w:ascii="Candara" w:hAnsi="Candara"/>
          <w:sz w:val="24"/>
        </w:rPr>
      </w:pPr>
    </w:p>
    <w:p w:rsidR="00BD79C6" w:rsidRPr="002D4AC1" w:rsidRDefault="008341BD" w:rsidP="008341BD">
      <w:pPr>
        <w:jc w:val="both"/>
        <w:rPr>
          <w:rFonts w:ascii="Candara" w:hAnsi="Candara"/>
          <w:sz w:val="24"/>
        </w:rPr>
      </w:pPr>
      <w:r w:rsidRPr="002D4AC1">
        <w:rPr>
          <w:rFonts w:ascii="Candara" w:hAnsi="Candara"/>
          <w:sz w:val="24"/>
        </w:rPr>
        <w:t xml:space="preserve">El 30 de diciembre de 2013 la SHCP publicó en el Diario Oficial de la Federación los </w:t>
      </w:r>
      <w:r w:rsidRPr="002D4AC1">
        <w:rPr>
          <w:rFonts w:ascii="Candara" w:hAnsi="Candara"/>
          <w:b/>
          <w:i/>
          <w:sz w:val="24"/>
        </w:rPr>
        <w:t>Lineamientos para el registro en la Cartera de Programas y Proyectos de Inversión</w:t>
      </w:r>
      <w:r w:rsidRPr="002D4AC1">
        <w:rPr>
          <w:rFonts w:ascii="Candara" w:hAnsi="Candara"/>
          <w:sz w:val="24"/>
        </w:rPr>
        <w:t xml:space="preserve"> (mismo que se anexa) con objeto de establecer las disposiciones que deberán observar las dependencias y entidades de la Administración Pública Federal, para solicitar el registro de nuevos programas y proyectos de inversión o la modificación de los que ya cuentan con clave de registro en la Cartera de Inversión, así como para la cancelació</w:t>
      </w:r>
      <w:r w:rsidR="00936632" w:rsidRPr="002D4AC1">
        <w:rPr>
          <w:rFonts w:ascii="Candara" w:hAnsi="Candara"/>
          <w:sz w:val="24"/>
        </w:rPr>
        <w:t xml:space="preserve">n y depuración de la Cartera </w:t>
      </w:r>
      <w:r w:rsidRPr="002D4AC1">
        <w:rPr>
          <w:rFonts w:ascii="Candara" w:hAnsi="Candara"/>
          <w:sz w:val="24"/>
        </w:rPr>
        <w:t>de Inversión</w:t>
      </w:r>
      <w:r w:rsidR="00936632" w:rsidRPr="002D4AC1">
        <w:rPr>
          <w:rFonts w:ascii="Candara" w:hAnsi="Candara"/>
          <w:sz w:val="24"/>
        </w:rPr>
        <w:t xml:space="preserve"> que maneja la SHCP</w:t>
      </w:r>
      <w:r w:rsidRPr="002D4AC1">
        <w:rPr>
          <w:rFonts w:ascii="Candara" w:hAnsi="Candara"/>
          <w:sz w:val="24"/>
        </w:rPr>
        <w:t>.</w:t>
      </w:r>
    </w:p>
    <w:p w:rsidR="00D10619" w:rsidRDefault="00D10619" w:rsidP="00D10619">
      <w:pPr>
        <w:jc w:val="both"/>
        <w:rPr>
          <w:rFonts w:ascii="Candara" w:hAnsi="Candara"/>
          <w:sz w:val="24"/>
        </w:rPr>
      </w:pPr>
    </w:p>
    <w:p w:rsidR="00D10619" w:rsidRPr="002D4AC1" w:rsidRDefault="007B0F71" w:rsidP="00D10619">
      <w:pPr>
        <w:shd w:val="clear" w:color="auto" w:fill="92D05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REQUISITOS Y DATOS PARA EL</w:t>
      </w:r>
      <w:r w:rsidRPr="007B0F71">
        <w:rPr>
          <w:rFonts w:ascii="Candara" w:hAnsi="Candara"/>
          <w:b/>
          <w:sz w:val="28"/>
        </w:rPr>
        <w:t xml:space="preserve"> REGISTRO DE PROGRAMAS Y PROYECTOS </w:t>
      </w:r>
    </w:p>
    <w:p w:rsidR="00D10619" w:rsidRDefault="00D10619" w:rsidP="00D10619">
      <w:pPr>
        <w:jc w:val="both"/>
        <w:rPr>
          <w:rFonts w:ascii="Candara" w:hAnsi="Candara"/>
          <w:sz w:val="24"/>
        </w:rPr>
      </w:pPr>
    </w:p>
    <w:p w:rsidR="00D10619" w:rsidRPr="002D4AC1" w:rsidRDefault="00D10619" w:rsidP="00D10619">
      <w:pPr>
        <w:jc w:val="both"/>
        <w:rPr>
          <w:rFonts w:ascii="Candara" w:hAnsi="Candara"/>
          <w:sz w:val="24"/>
        </w:rPr>
      </w:pPr>
      <w:r w:rsidRPr="002D4AC1">
        <w:rPr>
          <w:rFonts w:ascii="Candara" w:hAnsi="Candara"/>
          <w:sz w:val="24"/>
        </w:rPr>
        <w:t>Para obtener esa clave o registro</w:t>
      </w:r>
      <w:r w:rsidR="004300B1">
        <w:rPr>
          <w:rFonts w:ascii="Candara" w:hAnsi="Candara"/>
          <w:sz w:val="24"/>
        </w:rPr>
        <w:t>,</w:t>
      </w:r>
      <w:r w:rsidRPr="002D4AC1">
        <w:rPr>
          <w:rFonts w:ascii="Candara" w:hAnsi="Candara"/>
          <w:sz w:val="24"/>
        </w:rPr>
        <w:t xml:space="preserve"> la Unidad de Inversiones de la SHCP solicita una serie de requisitos, documentos e información general del proyecto (se pueden revisar en </w:t>
      </w:r>
      <w:r w:rsidR="004300B1">
        <w:rPr>
          <w:rFonts w:ascii="Candara" w:hAnsi="Candara"/>
          <w:sz w:val="24"/>
        </w:rPr>
        <w:t>los Lineamientos</w:t>
      </w:r>
      <w:r w:rsidRPr="002D4AC1">
        <w:rPr>
          <w:rFonts w:ascii="Candara" w:hAnsi="Candara"/>
          <w:sz w:val="24"/>
        </w:rPr>
        <w:t xml:space="preserve"> </w:t>
      </w:r>
      <w:r w:rsidR="004300B1">
        <w:rPr>
          <w:rFonts w:ascii="Candara" w:hAnsi="Candara"/>
          <w:sz w:val="24"/>
        </w:rPr>
        <w:t>que se adjunta</w:t>
      </w:r>
      <w:r w:rsidRPr="002D4AC1">
        <w:rPr>
          <w:rFonts w:ascii="Candara" w:hAnsi="Candara"/>
          <w:sz w:val="24"/>
        </w:rPr>
        <w:t>), es decir, cada proyecto debe contar con datos sobre análisis de factibilidad técnica, legal, económica y ambiental.</w:t>
      </w:r>
    </w:p>
    <w:p w:rsidR="00D10619" w:rsidRPr="002D4AC1" w:rsidRDefault="00D10619" w:rsidP="00D10619">
      <w:pPr>
        <w:jc w:val="both"/>
        <w:rPr>
          <w:rFonts w:ascii="Candara" w:hAnsi="Candara"/>
          <w:sz w:val="24"/>
        </w:rPr>
      </w:pPr>
    </w:p>
    <w:p w:rsidR="004239E2" w:rsidRDefault="00D10619" w:rsidP="00D10619">
      <w:pPr>
        <w:jc w:val="both"/>
        <w:rPr>
          <w:rFonts w:ascii="Candara" w:hAnsi="Candara"/>
          <w:sz w:val="24"/>
        </w:rPr>
      </w:pPr>
      <w:r w:rsidRPr="002D4AC1">
        <w:rPr>
          <w:rFonts w:ascii="Candara" w:hAnsi="Candara"/>
          <w:sz w:val="24"/>
        </w:rPr>
        <w:t xml:space="preserve">Esta información se </w:t>
      </w:r>
      <w:r w:rsidR="007B0F71">
        <w:rPr>
          <w:rFonts w:ascii="Candara" w:hAnsi="Candara"/>
          <w:sz w:val="24"/>
        </w:rPr>
        <w:t>integra y se captura a través</w:t>
      </w:r>
      <w:r w:rsidR="004239E2">
        <w:rPr>
          <w:rFonts w:ascii="Candara" w:hAnsi="Candara"/>
          <w:sz w:val="24"/>
        </w:rPr>
        <w:t xml:space="preserve"> de la Subdirección de Finanzas.</w:t>
      </w:r>
    </w:p>
    <w:p w:rsidR="004239E2" w:rsidRDefault="004239E2" w:rsidP="00D10619">
      <w:pPr>
        <w:jc w:val="both"/>
        <w:rPr>
          <w:rFonts w:ascii="Candara" w:hAnsi="Candara"/>
          <w:sz w:val="24"/>
        </w:rPr>
      </w:pPr>
    </w:p>
    <w:p w:rsidR="00D10619" w:rsidRDefault="004239E2" w:rsidP="00D10619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 envía a través d</w:t>
      </w:r>
      <w:r w:rsidR="00D10619" w:rsidRPr="002D4AC1">
        <w:rPr>
          <w:rFonts w:ascii="Candara" w:hAnsi="Candara"/>
          <w:sz w:val="24"/>
        </w:rPr>
        <w:t>el Sistema para el Proceso Integral de Programación y Presupuesto (SIPP)</w:t>
      </w:r>
      <w:r>
        <w:rPr>
          <w:rFonts w:ascii="Candara" w:hAnsi="Candara"/>
          <w:sz w:val="24"/>
        </w:rPr>
        <w:t xml:space="preserve"> utilizando</w:t>
      </w:r>
      <w:r w:rsidRPr="004239E2">
        <w:rPr>
          <w:rFonts w:ascii="Candara" w:hAnsi="Candara"/>
          <w:sz w:val="24"/>
        </w:rPr>
        <w:t xml:space="preserve"> los formatos de análisis que se encuentran publicados en el Portal de la SHCP</w:t>
      </w:r>
      <w:r w:rsidR="00D10619" w:rsidRPr="002D4AC1">
        <w:rPr>
          <w:rFonts w:ascii="Candara" w:hAnsi="Candara"/>
          <w:sz w:val="24"/>
        </w:rPr>
        <w:t>.</w:t>
      </w:r>
    </w:p>
    <w:p w:rsidR="000C09D3" w:rsidRDefault="000C09D3" w:rsidP="00D10619">
      <w:pPr>
        <w:jc w:val="both"/>
        <w:rPr>
          <w:rFonts w:ascii="Candara" w:hAnsi="Candara"/>
          <w:sz w:val="24"/>
        </w:rPr>
      </w:pPr>
    </w:p>
    <w:p w:rsidR="000C09D3" w:rsidRPr="002D4AC1" w:rsidRDefault="000C09D3" w:rsidP="00D10619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Obtener l</w:t>
      </w:r>
      <w:r w:rsidRPr="000C09D3">
        <w:rPr>
          <w:rFonts w:ascii="Candara" w:hAnsi="Candara"/>
          <w:sz w:val="24"/>
        </w:rPr>
        <w:t>a clave de Cartera solamente indica que el PPI es susceptible de recibir recursos, más no implica la asignación directa de éstos</w:t>
      </w:r>
    </w:p>
    <w:p w:rsidR="00BD79C6" w:rsidRDefault="004239E2" w:rsidP="00BD79C6">
      <w:pPr>
        <w:jc w:val="both"/>
        <w:rPr>
          <w:rFonts w:ascii="Candara" w:hAnsi="Candara"/>
          <w:sz w:val="24"/>
        </w:rPr>
      </w:pPr>
      <w:r w:rsidRPr="004239E2">
        <w:rPr>
          <w:rFonts w:ascii="Candara" w:hAnsi="Candara"/>
          <w:sz w:val="24"/>
        </w:rPr>
        <w:lastRenderedPageBreak/>
        <w:t xml:space="preserve">La Unidad de Inversiones cuenta con </w:t>
      </w:r>
      <w:r w:rsidRPr="004239E2">
        <w:rPr>
          <w:rFonts w:ascii="Candara" w:hAnsi="Candara"/>
          <w:b/>
          <w:sz w:val="24"/>
        </w:rPr>
        <w:t>un plazo de 20 días hábiles a partir de que ingresa la solicitud para enviar a revisión, rechazar o dar el registro en Cartera</w:t>
      </w:r>
      <w:r>
        <w:rPr>
          <w:rFonts w:ascii="Candara" w:hAnsi="Candara"/>
          <w:b/>
          <w:sz w:val="24"/>
        </w:rPr>
        <w:t>.</w:t>
      </w:r>
    </w:p>
    <w:p w:rsidR="004239E2" w:rsidRDefault="004239E2" w:rsidP="00BD79C6">
      <w:pPr>
        <w:jc w:val="both"/>
        <w:rPr>
          <w:rFonts w:ascii="Candara" w:hAnsi="Candara"/>
          <w:sz w:val="24"/>
        </w:rPr>
      </w:pPr>
    </w:p>
    <w:p w:rsidR="004239E2" w:rsidRPr="002D4AC1" w:rsidRDefault="004239E2" w:rsidP="00BD79C6">
      <w:pPr>
        <w:jc w:val="both"/>
        <w:rPr>
          <w:rFonts w:ascii="Candara" w:hAnsi="Candara"/>
          <w:sz w:val="24"/>
        </w:rPr>
      </w:pPr>
    </w:p>
    <w:p w:rsidR="004526CD" w:rsidRPr="002D4AC1" w:rsidRDefault="00416DCF" w:rsidP="004526CD">
      <w:pPr>
        <w:shd w:val="clear" w:color="auto" w:fill="92D050"/>
        <w:jc w:val="center"/>
        <w:rPr>
          <w:rFonts w:ascii="Candara" w:hAnsi="Candara"/>
          <w:b/>
          <w:sz w:val="28"/>
        </w:rPr>
      </w:pPr>
      <w:r w:rsidRPr="002D4AC1">
        <w:rPr>
          <w:rFonts w:ascii="Candara" w:hAnsi="Candara"/>
          <w:b/>
          <w:sz w:val="28"/>
        </w:rPr>
        <w:t xml:space="preserve">PRESUPUESTO DE ECOSUR EN MATERIA DE </w:t>
      </w:r>
      <w:r w:rsidR="004526CD" w:rsidRPr="002D4AC1">
        <w:rPr>
          <w:rFonts w:ascii="Candara" w:hAnsi="Candara"/>
          <w:b/>
          <w:sz w:val="28"/>
        </w:rPr>
        <w:t>INVERSIÓN</w:t>
      </w:r>
    </w:p>
    <w:p w:rsidR="004526CD" w:rsidRPr="002D4AC1" w:rsidRDefault="004526CD" w:rsidP="00BD79C6">
      <w:pPr>
        <w:jc w:val="both"/>
        <w:rPr>
          <w:rFonts w:ascii="Candara" w:hAnsi="Candara"/>
          <w:sz w:val="24"/>
        </w:rPr>
      </w:pPr>
    </w:p>
    <w:p w:rsidR="00097AEE" w:rsidRPr="002D4AC1" w:rsidRDefault="00416DCF" w:rsidP="00BD79C6">
      <w:pPr>
        <w:jc w:val="both"/>
        <w:rPr>
          <w:rFonts w:ascii="Candara" w:hAnsi="Candara"/>
          <w:sz w:val="24"/>
        </w:rPr>
      </w:pPr>
      <w:r w:rsidRPr="002D4AC1">
        <w:rPr>
          <w:rFonts w:ascii="Candara" w:hAnsi="Candara"/>
          <w:sz w:val="24"/>
        </w:rPr>
        <w:t>Desde hace varios años, en el presupuesto original de ECOSUR no se contemplan recursos para este rubro</w:t>
      </w:r>
      <w:r w:rsidR="00097AEE" w:rsidRPr="002D4AC1">
        <w:rPr>
          <w:rFonts w:ascii="Candara" w:hAnsi="Candara"/>
          <w:sz w:val="24"/>
        </w:rPr>
        <w:t xml:space="preserve">, (en </w:t>
      </w:r>
      <w:r w:rsidR="002D4AC1">
        <w:rPr>
          <w:rFonts w:ascii="Candara" w:hAnsi="Candara"/>
          <w:sz w:val="24"/>
        </w:rPr>
        <w:t xml:space="preserve">este </w:t>
      </w:r>
      <w:r w:rsidR="00097AEE" w:rsidRPr="002D4AC1">
        <w:rPr>
          <w:rFonts w:ascii="Candara" w:hAnsi="Candara"/>
          <w:sz w:val="24"/>
        </w:rPr>
        <w:t>2015 no fue la excepción) pero sí en el presupuesto del CONACyT.</w:t>
      </w:r>
    </w:p>
    <w:p w:rsidR="00097AEE" w:rsidRPr="002D4AC1" w:rsidRDefault="00097AEE" w:rsidP="00BD79C6">
      <w:pPr>
        <w:jc w:val="both"/>
        <w:rPr>
          <w:rFonts w:ascii="Candara" w:hAnsi="Candara"/>
          <w:sz w:val="24"/>
        </w:rPr>
      </w:pPr>
    </w:p>
    <w:p w:rsidR="00AA2A5E" w:rsidRPr="002D4AC1" w:rsidRDefault="00097AEE" w:rsidP="00BD79C6">
      <w:pPr>
        <w:jc w:val="both"/>
        <w:rPr>
          <w:rFonts w:ascii="Candara" w:hAnsi="Candara"/>
          <w:sz w:val="24"/>
        </w:rPr>
      </w:pPr>
      <w:r w:rsidRPr="002D4AC1">
        <w:rPr>
          <w:rFonts w:ascii="Candara" w:hAnsi="Candara"/>
          <w:sz w:val="24"/>
        </w:rPr>
        <w:t xml:space="preserve">El CONACyT como dependencia coordinadora del sector Ciencia y Tecnología </w:t>
      </w:r>
      <w:r w:rsidRPr="002D4AC1">
        <w:rPr>
          <w:rFonts w:ascii="Candara" w:hAnsi="Candara"/>
          <w:sz w:val="24"/>
          <w:u w:val="single"/>
        </w:rPr>
        <w:t>puede</w:t>
      </w:r>
      <w:r w:rsidRPr="002D4AC1">
        <w:rPr>
          <w:rFonts w:ascii="Candara" w:hAnsi="Candara"/>
          <w:sz w:val="24"/>
        </w:rPr>
        <w:t xml:space="preserve"> durante el año derivar o canalizar recursos para esta finalidad (caso de 2014), ya sea como una transferencia de su presupuesto fiscal al presupuesto fiscal de ECOSUR o a través de un apoyo </w:t>
      </w:r>
      <w:r w:rsidR="00D645C3" w:rsidRPr="002D4AC1">
        <w:rPr>
          <w:rFonts w:ascii="Candara" w:hAnsi="Candara"/>
          <w:sz w:val="24"/>
        </w:rPr>
        <w:t xml:space="preserve">especial </w:t>
      </w:r>
      <w:r w:rsidRPr="002D4AC1">
        <w:rPr>
          <w:rFonts w:ascii="Candara" w:hAnsi="Candara"/>
          <w:sz w:val="24"/>
        </w:rPr>
        <w:t xml:space="preserve">proveniente de algunos de sus fondos o fideicomisos, </w:t>
      </w:r>
      <w:r w:rsidRPr="002D4AC1">
        <w:rPr>
          <w:rFonts w:ascii="Candara" w:hAnsi="Candara"/>
          <w:sz w:val="24"/>
          <w:highlight w:val="yellow"/>
          <w:u w:val="single"/>
        </w:rPr>
        <w:t>en ambos casos</w:t>
      </w:r>
      <w:r w:rsidR="00D645C3" w:rsidRPr="002D4AC1">
        <w:rPr>
          <w:rFonts w:ascii="Candara" w:hAnsi="Candara"/>
          <w:sz w:val="24"/>
          <w:highlight w:val="yellow"/>
          <w:u w:val="single"/>
        </w:rPr>
        <w:t>,</w:t>
      </w:r>
      <w:r w:rsidRPr="002D4AC1">
        <w:rPr>
          <w:rFonts w:ascii="Candara" w:hAnsi="Candara"/>
          <w:sz w:val="24"/>
          <w:highlight w:val="yellow"/>
          <w:u w:val="single"/>
        </w:rPr>
        <w:t xml:space="preserve"> </w:t>
      </w:r>
      <w:r w:rsidR="002D4AC1" w:rsidRPr="002D4AC1">
        <w:rPr>
          <w:rFonts w:ascii="Candara" w:hAnsi="Candara"/>
          <w:sz w:val="24"/>
          <w:highlight w:val="yellow"/>
          <w:u w:val="single"/>
        </w:rPr>
        <w:t>si se pretende o si se</w:t>
      </w:r>
      <w:r w:rsidR="00AA2A5E" w:rsidRPr="002D4AC1">
        <w:rPr>
          <w:rFonts w:ascii="Candara" w:hAnsi="Candara"/>
          <w:sz w:val="24"/>
          <w:highlight w:val="yellow"/>
          <w:u w:val="single"/>
        </w:rPr>
        <w:t xml:space="preserve"> requiere </w:t>
      </w:r>
      <w:r w:rsidR="002D4AC1" w:rsidRPr="002D4AC1">
        <w:rPr>
          <w:rFonts w:ascii="Candara" w:hAnsi="Candara"/>
          <w:sz w:val="24"/>
          <w:highlight w:val="yellow"/>
          <w:u w:val="single"/>
        </w:rPr>
        <w:t xml:space="preserve">adquirir equipo o ejecutar </w:t>
      </w:r>
      <w:r w:rsidR="00AA2A5E" w:rsidRPr="002D4AC1">
        <w:rPr>
          <w:rFonts w:ascii="Candara" w:hAnsi="Candara"/>
          <w:sz w:val="24"/>
          <w:highlight w:val="yellow"/>
          <w:u w:val="single"/>
        </w:rPr>
        <w:t>proyectos de inversión</w:t>
      </w:r>
      <w:r w:rsidR="002D4AC1" w:rsidRPr="002D4AC1">
        <w:rPr>
          <w:rFonts w:ascii="Candara" w:hAnsi="Candara"/>
          <w:sz w:val="24"/>
          <w:highlight w:val="yellow"/>
          <w:u w:val="single"/>
        </w:rPr>
        <w:t>, se requiere contar con proyectos</w:t>
      </w:r>
      <w:r w:rsidR="00AA2A5E" w:rsidRPr="002D4AC1">
        <w:rPr>
          <w:rFonts w:ascii="Candara" w:hAnsi="Candara"/>
          <w:sz w:val="24"/>
          <w:highlight w:val="yellow"/>
          <w:u w:val="single"/>
        </w:rPr>
        <w:t xml:space="preserve"> debidamente registrados </w:t>
      </w:r>
      <w:r w:rsidR="002D4AC1" w:rsidRPr="002D4AC1">
        <w:rPr>
          <w:rFonts w:ascii="Candara" w:hAnsi="Candara"/>
          <w:sz w:val="24"/>
          <w:highlight w:val="yellow"/>
          <w:u w:val="single"/>
        </w:rPr>
        <w:t xml:space="preserve">y actualizados </w:t>
      </w:r>
      <w:r w:rsidR="00AA2A5E" w:rsidRPr="002D4AC1">
        <w:rPr>
          <w:rFonts w:ascii="Candara" w:hAnsi="Candara"/>
          <w:sz w:val="24"/>
          <w:highlight w:val="yellow"/>
          <w:u w:val="single"/>
        </w:rPr>
        <w:t>en la Cartera de Inversión</w:t>
      </w:r>
      <w:r w:rsidR="00AA2A5E" w:rsidRPr="002D4AC1">
        <w:rPr>
          <w:rFonts w:ascii="Candara" w:hAnsi="Candara"/>
          <w:sz w:val="24"/>
          <w:highlight w:val="yellow"/>
        </w:rPr>
        <w:t>.</w:t>
      </w:r>
    </w:p>
    <w:p w:rsidR="00AA2A5E" w:rsidRPr="002D4AC1" w:rsidRDefault="00AA2A5E" w:rsidP="00BD79C6">
      <w:pPr>
        <w:jc w:val="both"/>
        <w:rPr>
          <w:rFonts w:ascii="Candara" w:hAnsi="Candara"/>
          <w:sz w:val="24"/>
        </w:rPr>
      </w:pPr>
    </w:p>
    <w:p w:rsidR="00257652" w:rsidRPr="007B0F71" w:rsidRDefault="007B0F71" w:rsidP="00257652">
      <w:pPr>
        <w:shd w:val="clear" w:color="auto" w:fill="92D05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D</w:t>
      </w:r>
      <w:r w:rsidR="00257652" w:rsidRPr="007B0F71">
        <w:rPr>
          <w:rFonts w:ascii="Candara" w:hAnsi="Candara"/>
          <w:b/>
          <w:sz w:val="28"/>
        </w:rPr>
        <w:t>ISPOSICIONES CONTENIDAS EN LOS LINEAMIENTOS PARA EL REGISTRO EN LA CARTERA DE PROGRAMAS Y PROYECTOS DE INVERSIÓN</w:t>
      </w:r>
    </w:p>
    <w:p w:rsidR="00257652" w:rsidRPr="002D4AC1" w:rsidRDefault="00257652" w:rsidP="00BD79C6">
      <w:pPr>
        <w:jc w:val="both"/>
        <w:rPr>
          <w:rFonts w:ascii="Candara" w:hAnsi="Candara"/>
          <w:sz w:val="24"/>
        </w:rPr>
      </w:pPr>
    </w:p>
    <w:p w:rsidR="00AA2A5E" w:rsidRPr="002D4AC1" w:rsidRDefault="00257652" w:rsidP="00AA2A5E">
      <w:pPr>
        <w:spacing w:before="120" w:after="120"/>
        <w:jc w:val="both"/>
        <w:rPr>
          <w:rFonts w:ascii="Candara" w:hAnsi="Candara"/>
          <w:sz w:val="24"/>
        </w:rPr>
      </w:pPr>
      <w:r w:rsidRPr="002D4AC1">
        <w:rPr>
          <w:rFonts w:ascii="Candara" w:hAnsi="Candara"/>
          <w:sz w:val="24"/>
        </w:rPr>
        <w:t xml:space="preserve">La Unidad de Inversiones de la SHCP estableció </w:t>
      </w:r>
      <w:r w:rsidR="002D4AC1">
        <w:rPr>
          <w:rFonts w:ascii="Candara" w:hAnsi="Candara"/>
          <w:sz w:val="24"/>
        </w:rPr>
        <w:t xml:space="preserve">en </w:t>
      </w:r>
      <w:r w:rsidR="002D4AC1" w:rsidRPr="002D4AC1">
        <w:rPr>
          <w:rFonts w:ascii="Candara" w:hAnsi="Candara"/>
          <w:sz w:val="24"/>
        </w:rPr>
        <w:t>diciembre de 2013</w:t>
      </w:r>
      <w:r w:rsidR="002D4AC1">
        <w:rPr>
          <w:rFonts w:ascii="Candara" w:hAnsi="Candara"/>
          <w:sz w:val="24"/>
        </w:rPr>
        <w:t xml:space="preserve"> </w:t>
      </w:r>
      <w:r w:rsidR="00AA2A5E" w:rsidRPr="002D4AC1">
        <w:rPr>
          <w:rFonts w:ascii="Candara" w:hAnsi="Candara"/>
          <w:sz w:val="24"/>
        </w:rPr>
        <w:t>en sus lineamientos lo siguiente:</w:t>
      </w:r>
    </w:p>
    <w:p w:rsidR="00257652" w:rsidRPr="002D4AC1" w:rsidRDefault="00AA2A5E" w:rsidP="00AA2A5E">
      <w:pPr>
        <w:pStyle w:val="Prrafodelista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ndara" w:hAnsi="Candara"/>
          <w:sz w:val="24"/>
        </w:rPr>
      </w:pPr>
      <w:r w:rsidRPr="00497C5D">
        <w:rPr>
          <w:rFonts w:ascii="Candara" w:hAnsi="Candara"/>
          <w:b/>
          <w:sz w:val="24"/>
        </w:rPr>
        <w:t>S</w:t>
      </w:r>
      <w:r w:rsidR="00257652" w:rsidRPr="00497C5D">
        <w:rPr>
          <w:rFonts w:ascii="Candara" w:hAnsi="Candara"/>
          <w:b/>
          <w:sz w:val="24"/>
        </w:rPr>
        <w:t>olo apoyará el registro de nuevos proyectos</w:t>
      </w:r>
      <w:r w:rsidR="00257652" w:rsidRPr="002D4AC1">
        <w:rPr>
          <w:rFonts w:ascii="Candara" w:hAnsi="Candara"/>
          <w:sz w:val="24"/>
        </w:rPr>
        <w:t xml:space="preserve"> que no hayan erogado recursos para su ejecución parcial o total</w:t>
      </w:r>
      <w:r w:rsidR="00936632" w:rsidRPr="002D4AC1">
        <w:rPr>
          <w:rFonts w:ascii="Candara" w:hAnsi="Candara"/>
          <w:sz w:val="24"/>
        </w:rPr>
        <w:t xml:space="preserve"> con anterioridad</w:t>
      </w:r>
      <w:r w:rsidR="00257652" w:rsidRPr="002D4AC1">
        <w:rPr>
          <w:rFonts w:ascii="Candara" w:hAnsi="Candara"/>
          <w:sz w:val="24"/>
        </w:rPr>
        <w:t>. En el caso de los proyectos de inversión que tengan relación directa o indirecta en la ejecución u operación de algún otro proyecto</w:t>
      </w:r>
      <w:r w:rsidR="00936632" w:rsidRPr="002D4AC1">
        <w:rPr>
          <w:rFonts w:ascii="Candara" w:hAnsi="Candara"/>
          <w:sz w:val="24"/>
        </w:rPr>
        <w:t xml:space="preserve"> anterior</w:t>
      </w:r>
      <w:r w:rsidR="00497C5D">
        <w:rPr>
          <w:rFonts w:ascii="Candara" w:hAnsi="Candara"/>
          <w:sz w:val="24"/>
        </w:rPr>
        <w:t xml:space="preserve"> (primera y segunda etapa, primer o segundo piso, etc.),</w:t>
      </w:r>
      <w:r w:rsidR="00257652" w:rsidRPr="002D4AC1">
        <w:rPr>
          <w:rFonts w:ascii="Candara" w:hAnsi="Candara"/>
          <w:sz w:val="24"/>
        </w:rPr>
        <w:t xml:space="preserve"> se deberá demostrar su separabilidad a fin que sea procedente su consideración como</w:t>
      </w:r>
      <w:r w:rsidR="00936632" w:rsidRPr="002D4AC1">
        <w:rPr>
          <w:rFonts w:ascii="Candara" w:hAnsi="Candara"/>
          <w:sz w:val="24"/>
        </w:rPr>
        <w:t xml:space="preserve"> proyectos de inversión. </w:t>
      </w:r>
      <w:r w:rsidR="004526CD" w:rsidRPr="002D4AC1">
        <w:rPr>
          <w:rFonts w:ascii="Candara" w:hAnsi="Candara"/>
          <w:sz w:val="24"/>
        </w:rPr>
        <w:t>Es decir, n</w:t>
      </w:r>
      <w:r w:rsidR="00936632" w:rsidRPr="002D4AC1">
        <w:rPr>
          <w:rFonts w:ascii="Candara" w:hAnsi="Candara"/>
          <w:sz w:val="24"/>
        </w:rPr>
        <w:t>o se podrá solicitar el registro en la Cartera de Inversión de proyectos de inversión ya iniciados o concluidos anteriormente.</w:t>
      </w:r>
    </w:p>
    <w:p w:rsidR="000F06C3" w:rsidRPr="000F06C3" w:rsidRDefault="000F06C3" w:rsidP="000F06C3">
      <w:pPr>
        <w:pStyle w:val="Prrafodelista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ndara" w:hAnsi="Candara"/>
          <w:sz w:val="24"/>
        </w:rPr>
      </w:pPr>
      <w:r w:rsidRPr="000F06C3">
        <w:rPr>
          <w:rFonts w:ascii="Candara" w:hAnsi="Candara"/>
          <w:b/>
          <w:sz w:val="24"/>
        </w:rPr>
        <w:t>El administrador del Proyecto de Inversión deberá tener como mínimo el nivel de Director de Área</w:t>
      </w:r>
      <w:r w:rsidRPr="000F06C3">
        <w:rPr>
          <w:rFonts w:ascii="Candara" w:hAnsi="Candara"/>
          <w:sz w:val="24"/>
        </w:rPr>
        <w:t xml:space="preserve"> o su equivalente en la entidad correspondiente y será responsable de que se cumpla con todos los requisitos y de dar seguimiento a los programas y proyectos de invers</w:t>
      </w:r>
      <w:r>
        <w:rPr>
          <w:rFonts w:ascii="Candara" w:hAnsi="Candara"/>
          <w:sz w:val="24"/>
        </w:rPr>
        <w:t>ión en ejecución y en operación</w:t>
      </w:r>
      <w:r w:rsidRPr="000F06C3">
        <w:rPr>
          <w:rFonts w:ascii="Candara" w:hAnsi="Candara"/>
          <w:sz w:val="24"/>
        </w:rPr>
        <w:t>.</w:t>
      </w:r>
    </w:p>
    <w:p w:rsidR="00257652" w:rsidRDefault="00497C5D" w:rsidP="00497C5D">
      <w:pPr>
        <w:pStyle w:val="Prrafodelista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ndara" w:hAnsi="Candara"/>
          <w:sz w:val="24"/>
        </w:rPr>
      </w:pPr>
      <w:r w:rsidRPr="00497C5D">
        <w:rPr>
          <w:rFonts w:ascii="Candara" w:hAnsi="Candara"/>
          <w:sz w:val="24"/>
        </w:rPr>
        <w:t xml:space="preserve">De conformidad con lo establecido en el tercer párrafo del artículo 52 del Reglamento de la Ley de Presupuesto, </w:t>
      </w:r>
      <w:r w:rsidRPr="008F25F4">
        <w:rPr>
          <w:rFonts w:ascii="Candara" w:hAnsi="Candara"/>
          <w:b/>
          <w:sz w:val="24"/>
        </w:rPr>
        <w:t>el registro en la  Cartera  tendrá una</w:t>
      </w:r>
      <w:r w:rsidRPr="00497C5D">
        <w:rPr>
          <w:rFonts w:ascii="Candara" w:hAnsi="Candara"/>
          <w:sz w:val="24"/>
        </w:rPr>
        <w:t xml:space="preserve"> </w:t>
      </w:r>
      <w:r w:rsidRPr="00497C5D">
        <w:rPr>
          <w:rFonts w:ascii="Candara" w:hAnsi="Candara"/>
          <w:b/>
          <w:sz w:val="24"/>
        </w:rPr>
        <w:t>vigencia de 3 años</w:t>
      </w:r>
      <w:r w:rsidRPr="00497C5D">
        <w:rPr>
          <w:rFonts w:ascii="Candara" w:hAnsi="Candara"/>
          <w:sz w:val="24"/>
        </w:rPr>
        <w:t xml:space="preserve"> contados a partir del otorgamiento de la clave correspondiente o, en su caso, a partir de la actualización del registro con la presentación de un nuevo análisis costo y beneficio</w:t>
      </w:r>
      <w:r>
        <w:rPr>
          <w:rFonts w:ascii="Candara" w:hAnsi="Candara"/>
          <w:sz w:val="24"/>
        </w:rPr>
        <w:t>.</w:t>
      </w:r>
    </w:p>
    <w:p w:rsidR="00D10619" w:rsidRPr="00D10619" w:rsidRDefault="00D10619" w:rsidP="00D10619">
      <w:pPr>
        <w:pStyle w:val="Prrafodelista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 xml:space="preserve">La </w:t>
      </w:r>
      <w:r w:rsidRPr="00D10619">
        <w:rPr>
          <w:rFonts w:ascii="Candara" w:hAnsi="Candara"/>
          <w:sz w:val="24"/>
        </w:rPr>
        <w:t xml:space="preserve">Unidad de Inversiones </w:t>
      </w:r>
      <w:r w:rsidRPr="008F25F4">
        <w:rPr>
          <w:rFonts w:ascii="Candara" w:hAnsi="Candara"/>
          <w:b/>
          <w:sz w:val="24"/>
        </w:rPr>
        <w:t xml:space="preserve">no otorgará  solicitud de registro si los documentos que envían las dependencias o entidades </w:t>
      </w:r>
      <w:r w:rsidRPr="00D10619">
        <w:rPr>
          <w:rFonts w:ascii="Candara" w:hAnsi="Candara"/>
          <w:b/>
          <w:sz w:val="24"/>
        </w:rPr>
        <w:t>están incompletos</w:t>
      </w:r>
      <w:r w:rsidRPr="00D10619">
        <w:rPr>
          <w:rFonts w:ascii="Candara" w:hAnsi="Candara"/>
          <w:sz w:val="24"/>
        </w:rPr>
        <w:t xml:space="preserve">, presentan hojas en blanco o </w:t>
      </w:r>
      <w:r w:rsidRPr="00D10619">
        <w:rPr>
          <w:rFonts w:ascii="Candara" w:hAnsi="Candara"/>
          <w:b/>
          <w:sz w:val="24"/>
        </w:rPr>
        <w:t>no cumplen con las disposiciones de los presentes Lineamientos</w:t>
      </w:r>
      <w:r>
        <w:rPr>
          <w:rFonts w:ascii="Candara" w:hAnsi="Candara"/>
          <w:b/>
          <w:sz w:val="24"/>
        </w:rPr>
        <w:t>.</w:t>
      </w:r>
    </w:p>
    <w:p w:rsidR="00257652" w:rsidRDefault="00497C5D" w:rsidP="00497C5D">
      <w:pPr>
        <w:pStyle w:val="Prrafodelista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ndara" w:hAnsi="Candara"/>
          <w:sz w:val="24"/>
        </w:rPr>
      </w:pPr>
      <w:r w:rsidRPr="00497C5D">
        <w:rPr>
          <w:rFonts w:ascii="Candara" w:hAnsi="Candara"/>
          <w:sz w:val="24"/>
        </w:rPr>
        <w:t xml:space="preserve">Cuando un programa o proyecto de inversión con clave de registro en Cartera, se encuentre en la etapa de Cancelación/Captura por más de 60 días hábiles, sin que se realice gestión alguna, </w:t>
      </w:r>
      <w:r w:rsidRPr="00497C5D">
        <w:rPr>
          <w:rFonts w:ascii="Candara" w:hAnsi="Candara"/>
          <w:b/>
          <w:sz w:val="24"/>
        </w:rPr>
        <w:t>se cancelará automáticamente</w:t>
      </w:r>
      <w:r>
        <w:rPr>
          <w:rFonts w:ascii="Candara" w:hAnsi="Candara"/>
          <w:sz w:val="24"/>
        </w:rPr>
        <w:t xml:space="preserve"> el registro</w:t>
      </w:r>
      <w:r w:rsidRPr="00497C5D">
        <w:rPr>
          <w:rFonts w:ascii="Candara" w:hAnsi="Candara"/>
          <w:sz w:val="24"/>
        </w:rPr>
        <w:t>.</w:t>
      </w:r>
    </w:p>
    <w:p w:rsidR="00257652" w:rsidRPr="00497C5D" w:rsidRDefault="00497C5D" w:rsidP="00497C5D">
      <w:pPr>
        <w:pStyle w:val="Prrafodelista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Candara" w:hAnsi="Candara"/>
          <w:sz w:val="24"/>
        </w:rPr>
      </w:pPr>
      <w:r w:rsidRPr="00497C5D">
        <w:rPr>
          <w:rFonts w:ascii="Candara" w:hAnsi="Candara"/>
          <w:sz w:val="24"/>
        </w:rPr>
        <w:t xml:space="preserve">Para los programas o proyectos de inversión que la Unidad de Inversiones haya sometido a revisión y se encuentren en “Modificación/Captura”,  sin que se realice gestión alguna se deberá enviar la información solicitada en un plazo de 20 días, en caso contrario, la Unidad  de Inversiones, </w:t>
      </w:r>
      <w:r w:rsidRPr="00497C5D">
        <w:rPr>
          <w:rFonts w:ascii="Candara" w:hAnsi="Candara"/>
          <w:b/>
          <w:sz w:val="24"/>
        </w:rPr>
        <w:t xml:space="preserve">procederá de manera automática a la cancelación </w:t>
      </w:r>
      <w:r w:rsidRPr="00497C5D">
        <w:rPr>
          <w:rFonts w:ascii="Candara" w:hAnsi="Candara"/>
          <w:sz w:val="24"/>
        </w:rPr>
        <w:t>del registro.</w:t>
      </w:r>
    </w:p>
    <w:p w:rsidR="00257652" w:rsidRDefault="00257652" w:rsidP="00BD79C6">
      <w:pPr>
        <w:jc w:val="both"/>
        <w:rPr>
          <w:rFonts w:ascii="Candara" w:hAnsi="Candara"/>
          <w:sz w:val="24"/>
        </w:rPr>
      </w:pPr>
    </w:p>
    <w:p w:rsidR="007B0F71" w:rsidRPr="007B0F71" w:rsidRDefault="007B0F71" w:rsidP="007B0F71">
      <w:pPr>
        <w:shd w:val="clear" w:color="auto" w:fill="92D05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PROPÓSITO DE COMENTAR </w:t>
      </w:r>
      <w:r w:rsidR="008E2C44">
        <w:rPr>
          <w:rFonts w:ascii="Candara" w:hAnsi="Candara"/>
          <w:b/>
          <w:sz w:val="28"/>
        </w:rPr>
        <w:t xml:space="preserve">ESTE TEMA </w:t>
      </w:r>
      <w:r>
        <w:rPr>
          <w:rFonts w:ascii="Candara" w:hAnsi="Candara"/>
          <w:b/>
          <w:sz w:val="28"/>
        </w:rPr>
        <w:t>EN LA SESIÓN DE CTC</w:t>
      </w:r>
    </w:p>
    <w:p w:rsidR="007B0F71" w:rsidRPr="002D4AC1" w:rsidRDefault="007B0F71" w:rsidP="007B0F71">
      <w:pPr>
        <w:jc w:val="both"/>
        <w:rPr>
          <w:rFonts w:ascii="Candara" w:hAnsi="Candara"/>
          <w:sz w:val="24"/>
        </w:rPr>
      </w:pPr>
    </w:p>
    <w:p w:rsidR="007B0F71" w:rsidRPr="000C09D3" w:rsidRDefault="007B0F71" w:rsidP="00BD79C6">
      <w:pPr>
        <w:jc w:val="both"/>
        <w:rPr>
          <w:rFonts w:ascii="Candara" w:hAnsi="Candara"/>
          <w:color w:val="0000FF"/>
          <w:sz w:val="32"/>
        </w:rPr>
      </w:pPr>
      <w:r w:rsidRPr="000C09D3">
        <w:rPr>
          <w:rFonts w:ascii="Candara" w:hAnsi="Candara"/>
          <w:color w:val="0000FF"/>
          <w:sz w:val="32"/>
        </w:rPr>
        <w:t xml:space="preserve">Que </w:t>
      </w:r>
      <w:r w:rsidR="008E2C44" w:rsidRPr="000C09D3">
        <w:rPr>
          <w:rFonts w:ascii="Candara" w:hAnsi="Candara"/>
          <w:color w:val="0000FF"/>
          <w:sz w:val="32"/>
        </w:rPr>
        <w:t xml:space="preserve">se conozca este trámite o </w:t>
      </w:r>
      <w:r w:rsidR="008F25F4">
        <w:rPr>
          <w:rFonts w:ascii="Candara" w:hAnsi="Candara"/>
          <w:color w:val="0000FF"/>
          <w:sz w:val="32"/>
        </w:rPr>
        <w:t>procedimiento</w:t>
      </w:r>
      <w:r w:rsidR="008E2C44" w:rsidRPr="000C09D3">
        <w:rPr>
          <w:rFonts w:ascii="Candara" w:hAnsi="Candara"/>
          <w:color w:val="0000FF"/>
          <w:sz w:val="32"/>
        </w:rPr>
        <w:t xml:space="preserve"> ante la SHCP por </w:t>
      </w:r>
      <w:r w:rsidRPr="000C09D3">
        <w:rPr>
          <w:rFonts w:ascii="Candara" w:hAnsi="Candara"/>
          <w:color w:val="0000FF"/>
          <w:sz w:val="32"/>
        </w:rPr>
        <w:t xml:space="preserve">si se desea </w:t>
      </w:r>
      <w:r w:rsidR="008E2C44" w:rsidRPr="000C09D3">
        <w:rPr>
          <w:rFonts w:ascii="Candara" w:hAnsi="Candara"/>
          <w:color w:val="0000FF"/>
          <w:sz w:val="32"/>
        </w:rPr>
        <w:t>adquirir algún bien o ejecutar algún proyecto de construcción y estar preparados en caso de que se asignen recursos para est</w:t>
      </w:r>
      <w:r w:rsidR="000C09D3" w:rsidRPr="000C09D3">
        <w:rPr>
          <w:rFonts w:ascii="Candara" w:hAnsi="Candara"/>
          <w:color w:val="0000FF"/>
          <w:sz w:val="32"/>
        </w:rPr>
        <w:t>os</w:t>
      </w:r>
      <w:r w:rsidR="008E2C44" w:rsidRPr="000C09D3">
        <w:rPr>
          <w:rFonts w:ascii="Candara" w:hAnsi="Candara"/>
          <w:color w:val="0000FF"/>
          <w:sz w:val="32"/>
        </w:rPr>
        <w:t xml:space="preserve"> rubro</w:t>
      </w:r>
      <w:r w:rsidR="000C09D3" w:rsidRPr="000C09D3">
        <w:rPr>
          <w:rFonts w:ascii="Candara" w:hAnsi="Candara"/>
          <w:color w:val="0000FF"/>
          <w:sz w:val="32"/>
        </w:rPr>
        <w:t>s</w:t>
      </w:r>
      <w:r w:rsidR="008E2C44" w:rsidRPr="000C09D3">
        <w:rPr>
          <w:rFonts w:ascii="Candara" w:hAnsi="Candara"/>
          <w:color w:val="0000FF"/>
          <w:sz w:val="32"/>
        </w:rPr>
        <w:t>.</w:t>
      </w:r>
      <w:bookmarkStart w:id="0" w:name="_GoBack"/>
      <w:bookmarkEnd w:id="0"/>
    </w:p>
    <w:p w:rsidR="007B0F71" w:rsidRDefault="007B0F71" w:rsidP="00BD79C6">
      <w:pPr>
        <w:jc w:val="both"/>
        <w:rPr>
          <w:rFonts w:ascii="Candara" w:hAnsi="Candara"/>
          <w:sz w:val="24"/>
        </w:rPr>
      </w:pPr>
    </w:p>
    <w:p w:rsidR="007B0F71" w:rsidRPr="002D4AC1" w:rsidRDefault="007B0F71" w:rsidP="00BD79C6">
      <w:pPr>
        <w:jc w:val="both"/>
        <w:rPr>
          <w:rFonts w:ascii="Candara" w:hAnsi="Candara"/>
          <w:sz w:val="24"/>
        </w:rPr>
      </w:pPr>
    </w:p>
    <w:sectPr w:rsidR="007B0F71" w:rsidRPr="002D4AC1" w:rsidSect="008A0F60">
      <w:headerReference w:type="default" r:id="rId8"/>
      <w:footerReference w:type="default" r:id="rId9"/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D3" w:rsidRDefault="000C09D3" w:rsidP="000C09D3">
      <w:r>
        <w:separator/>
      </w:r>
    </w:p>
  </w:endnote>
  <w:endnote w:type="continuationSeparator" w:id="0">
    <w:p w:rsidR="000C09D3" w:rsidRDefault="000C09D3" w:rsidP="000C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853441"/>
      <w:docPartObj>
        <w:docPartGallery w:val="Page Numbers (Bottom of Page)"/>
        <w:docPartUnique/>
      </w:docPartObj>
    </w:sdtPr>
    <w:sdtContent>
      <w:p w:rsidR="008F25F4" w:rsidRDefault="008F25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25F4">
          <w:rPr>
            <w:noProof/>
            <w:lang w:val="es-ES"/>
          </w:rPr>
          <w:t>3</w:t>
        </w:r>
        <w:r>
          <w:fldChar w:fldCharType="end"/>
        </w:r>
      </w:p>
    </w:sdtContent>
  </w:sdt>
  <w:p w:rsidR="008F25F4" w:rsidRDefault="008F25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D3" w:rsidRDefault="000C09D3" w:rsidP="000C09D3">
      <w:r>
        <w:separator/>
      </w:r>
    </w:p>
  </w:footnote>
  <w:footnote w:type="continuationSeparator" w:id="0">
    <w:p w:rsidR="000C09D3" w:rsidRDefault="000C09D3" w:rsidP="000C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D3" w:rsidRPr="00D7761F" w:rsidRDefault="000C09D3" w:rsidP="000C09D3">
    <w:pPr>
      <w:pStyle w:val="Encabezado"/>
      <w:jc w:val="center"/>
      <w:rPr>
        <w:rFonts w:ascii="Candara" w:hAnsi="Candara"/>
        <w:b/>
        <w:color w:val="A6A6A6" w:themeColor="background1" w:themeShade="A6"/>
      </w:rPr>
    </w:pPr>
    <w:r w:rsidRPr="00D7761F">
      <w:rPr>
        <w:rFonts w:ascii="Candara" w:hAnsi="Candara"/>
        <w:b/>
        <w:color w:val="A6A6A6" w:themeColor="background1" w:themeShade="A6"/>
      </w:rPr>
      <w:t>DIRECCIÓN DE ADMINISTRACIÓN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550"/>
    <w:multiLevelType w:val="hybridMultilevel"/>
    <w:tmpl w:val="F1DC1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C6"/>
    <w:rsid w:val="00097AEE"/>
    <w:rsid w:val="000C09D3"/>
    <w:rsid w:val="000F06C3"/>
    <w:rsid w:val="00204596"/>
    <w:rsid w:val="00237402"/>
    <w:rsid w:val="00257652"/>
    <w:rsid w:val="002764C4"/>
    <w:rsid w:val="002D4AC1"/>
    <w:rsid w:val="00416DCF"/>
    <w:rsid w:val="004239E2"/>
    <w:rsid w:val="004300B1"/>
    <w:rsid w:val="004526CD"/>
    <w:rsid w:val="00497C5D"/>
    <w:rsid w:val="00626E88"/>
    <w:rsid w:val="007B0F71"/>
    <w:rsid w:val="00833661"/>
    <w:rsid w:val="008341BD"/>
    <w:rsid w:val="008A0F60"/>
    <w:rsid w:val="008E2C44"/>
    <w:rsid w:val="008F25F4"/>
    <w:rsid w:val="00936632"/>
    <w:rsid w:val="00AA2A5E"/>
    <w:rsid w:val="00BD79C6"/>
    <w:rsid w:val="00CE193C"/>
    <w:rsid w:val="00D10619"/>
    <w:rsid w:val="00D645C3"/>
    <w:rsid w:val="00D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9D3"/>
  </w:style>
  <w:style w:type="paragraph" w:styleId="Piedepgina">
    <w:name w:val="footer"/>
    <w:basedOn w:val="Normal"/>
    <w:link w:val="PiedepginaCar"/>
    <w:uiPriority w:val="99"/>
    <w:unhideWhenUsed/>
    <w:rsid w:val="000C0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9D3"/>
  </w:style>
  <w:style w:type="paragraph" w:styleId="Piedepgina">
    <w:name w:val="footer"/>
    <w:basedOn w:val="Normal"/>
    <w:link w:val="PiedepginaCar"/>
    <w:uiPriority w:val="99"/>
    <w:unhideWhenUsed/>
    <w:rsid w:val="000C0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jmazariegos</dc:creator>
  <cp:lastModifiedBy>jmazariegos</cp:lastModifiedBy>
  <cp:revision>10</cp:revision>
  <dcterms:created xsi:type="dcterms:W3CDTF">2015-02-01T14:50:00Z</dcterms:created>
  <dcterms:modified xsi:type="dcterms:W3CDTF">2015-02-05T23:08:00Z</dcterms:modified>
</cp:coreProperties>
</file>