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A764F" w:rsidRPr="00DF2F0D" w:rsidRDefault="00FA764F" w:rsidP="00FA764F">
      <w:pPr>
        <w:spacing w:line="240" w:lineRule="auto"/>
        <w:jc w:val="center"/>
        <w:rPr>
          <w:rFonts w:ascii="Candara" w:hAnsi="Candara"/>
          <w:b/>
          <w:sz w:val="24"/>
          <w:szCs w:val="28"/>
          <w:lang w:val="es-ES_tradnl"/>
        </w:rPr>
      </w:pPr>
      <w:r w:rsidRPr="00DF2F0D">
        <w:rPr>
          <w:noProof/>
          <w:lang w:val="es-ES_tradnl" w:eastAsia="es-ES" w:bidi="ar-SA"/>
        </w:rPr>
        <w:drawing>
          <wp:anchor distT="0" distB="0" distL="114300" distR="114300" simplePos="0" relativeHeight="251662336" behindDoc="0" locked="0" layoutInCell="1" allowOverlap="1" wp14:anchorId="1C0C1DB5" wp14:editId="17DC6E97">
            <wp:simplePos x="0" y="0"/>
            <wp:positionH relativeFrom="margin">
              <wp:posOffset>4426585</wp:posOffset>
            </wp:positionH>
            <wp:positionV relativeFrom="paragraph">
              <wp:posOffset>-328295</wp:posOffset>
            </wp:positionV>
            <wp:extent cx="683260" cy="775970"/>
            <wp:effectExtent l="0" t="0" r="2540" b="508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775970"/>
                    </a:xfrm>
                    <a:prstGeom prst="rect">
                      <a:avLst/>
                    </a:prstGeom>
                    <a:noFill/>
                  </pic:spPr>
                </pic:pic>
              </a:graphicData>
            </a:graphic>
            <wp14:sizeRelH relativeFrom="page">
              <wp14:pctWidth>0</wp14:pctWidth>
            </wp14:sizeRelH>
            <wp14:sizeRelV relativeFrom="page">
              <wp14:pctHeight>0</wp14:pctHeight>
            </wp14:sizeRelV>
          </wp:anchor>
        </w:drawing>
      </w:r>
      <w:r w:rsidR="00DF2F0D" w:rsidRPr="00DF2F0D">
        <w:rPr>
          <w:rFonts w:ascii="Candara" w:hAnsi="Candara"/>
          <w:b/>
          <w:noProof/>
          <w:sz w:val="24"/>
          <w:szCs w:val="28"/>
          <w:lang w:val="es-ES_tradnl" w:eastAsia="es-MX" w:bidi="ar-SA"/>
        </w:rPr>
        <w:pict w14:anchorId="7C27B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5pt;margin-top:-20.1pt;width:110.4pt;height:60.7pt;z-index:251660288;mso-wrap-edited:f;mso-position-horizontal-relative:text;mso-position-vertical-relative:text;mso-width-relative:page;mso-height-relative:page" wrapcoords="-146 0 -146 21066 21600 21066 21600 0 -146 0">
            <v:imagedata r:id="rId10" o:title=""/>
            <w10:wrap type="through"/>
          </v:shape>
          <o:OLEObject Type="Embed" ProgID="PBrush" ShapeID="_x0000_s1026" DrawAspect="Content" ObjectID="_1469174144" r:id="rId11"/>
        </w:pict>
      </w:r>
      <w:r w:rsidRPr="00DF2F0D">
        <w:rPr>
          <w:noProof/>
          <w:lang w:val="es-ES_tradnl" w:eastAsia="es-ES" w:bidi="ar-SA"/>
        </w:rPr>
        <mc:AlternateContent>
          <mc:Choice Requires="wps">
            <w:drawing>
              <wp:anchor distT="45720" distB="45720" distL="114300" distR="114300" simplePos="0" relativeHeight="251658239" behindDoc="0" locked="0" layoutInCell="1" allowOverlap="1" wp14:anchorId="7E8B556B" wp14:editId="4258DD69">
                <wp:simplePos x="0" y="0"/>
                <wp:positionH relativeFrom="column">
                  <wp:posOffset>1000760</wp:posOffset>
                </wp:positionH>
                <wp:positionV relativeFrom="paragraph">
                  <wp:posOffset>-255905</wp:posOffset>
                </wp:positionV>
                <wp:extent cx="3426460" cy="751205"/>
                <wp:effectExtent l="0" t="0" r="254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751205"/>
                        </a:xfrm>
                        <a:prstGeom prst="rect">
                          <a:avLst/>
                        </a:prstGeom>
                        <a:solidFill>
                          <a:srgbClr val="FFFFFF"/>
                        </a:solidFill>
                        <a:ln w="9525">
                          <a:noFill/>
                          <a:miter lim="800000"/>
                          <a:headEnd/>
                          <a:tailEnd/>
                        </a:ln>
                      </wps:spPr>
                      <wps:txbx>
                        <w:txbxContent>
                          <w:p w:rsidR="00A76B1E" w:rsidRPr="00C73007" w:rsidRDefault="00A76B1E" w:rsidP="00FA764F">
                            <w:pPr>
                              <w:jc w:val="center"/>
                              <w:rPr>
                                <w:rFonts w:ascii="Candara" w:hAnsi="Candara"/>
                                <w:b/>
                                <w:sz w:val="28"/>
                                <w:szCs w:val="28"/>
                              </w:rPr>
                            </w:pPr>
                            <w:r w:rsidRPr="00C73007">
                              <w:rPr>
                                <w:rFonts w:ascii="Candara" w:hAnsi="Candara"/>
                                <w:b/>
                                <w:sz w:val="28"/>
                                <w:szCs w:val="28"/>
                              </w:rPr>
                              <w:t>C</w:t>
                            </w:r>
                            <w:r>
                              <w:rPr>
                                <w:rFonts w:ascii="Candara" w:hAnsi="Candara"/>
                                <w:b/>
                                <w:sz w:val="28"/>
                                <w:szCs w:val="28"/>
                              </w:rPr>
                              <w:t xml:space="preserve">omité de Control y Desempeño Institucional </w:t>
                            </w:r>
                          </w:p>
                          <w:p w:rsidR="00A76B1E" w:rsidRPr="00C73007" w:rsidRDefault="00A76B1E" w:rsidP="00FA764F">
                            <w:pPr>
                              <w:jc w:val="center"/>
                              <w:rPr>
                                <w:rFonts w:ascii="Candara" w:hAnsi="Candara"/>
                                <w:b/>
                                <w:sz w:val="28"/>
                                <w:szCs w:val="28"/>
                              </w:rPr>
                            </w:pPr>
                            <w:r>
                              <w:rPr>
                                <w:rFonts w:ascii="Candara" w:hAnsi="Candara"/>
                                <w:b/>
                                <w:sz w:val="28"/>
                                <w:szCs w:val="28"/>
                              </w:rPr>
                              <w:t>Tercera Sesión Ordinaria</w:t>
                            </w:r>
                            <w:r w:rsidRPr="00C73007">
                              <w:rPr>
                                <w:rFonts w:ascii="Candara" w:hAnsi="Candara"/>
                                <w:b/>
                                <w:sz w:val="28"/>
                                <w:szCs w:val="28"/>
                              </w:rPr>
                              <w:t xml:space="preserve"> 201</w:t>
                            </w:r>
                            <w:r>
                              <w:rPr>
                                <w:rFonts w:ascii="Candara" w:hAnsi="Candara"/>
                                <w:b/>
                                <w:sz w:val="28"/>
                                <w:szCs w:val="28"/>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4C844CB6" id="_x0000_t202" coordsize="21600,21600" o:spt="202" path="m,l,21600r21600,l21600,xe">
                <v:stroke joinstyle="miter"/>
                <v:path gradientshapeok="t" o:connecttype="rect"/>
              </v:shapetype>
              <v:shape id="Cuadro de texto 2" o:spid="_x0000_s1026" type="#_x0000_t202" style="position:absolute;left:0;text-align:left;margin-left:78.8pt;margin-top:-20.15pt;width:269.8pt;height:59.15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" stroked="f">
                <v:textbox style="mso-fit-shape-to-text:t">
                  <w:txbxContent>
                    <w:p w:rsidR="00A76B1E" w:rsidRPr="00C73007" w:rsidRDefault="00A76B1E" w:rsidP="00FA764F">
                      <w:pPr>
                        <w:jc w:val="center"/>
                        <w:rPr>
                          <w:rFonts w:ascii="Candara" w:hAnsi="Candara"/>
                          <w:b/>
                          <w:sz w:val="28"/>
                          <w:szCs w:val="28"/>
                        </w:rPr>
                      </w:pPr>
                      <w:r w:rsidRPr="00C73007">
                        <w:rPr>
                          <w:rFonts w:ascii="Candara" w:hAnsi="Candara"/>
                          <w:b/>
                          <w:sz w:val="28"/>
                          <w:szCs w:val="28"/>
                        </w:rPr>
                        <w:t>C</w:t>
                      </w:r>
                      <w:r>
                        <w:rPr>
                          <w:rFonts w:ascii="Candara" w:hAnsi="Candara"/>
                          <w:b/>
                          <w:sz w:val="28"/>
                          <w:szCs w:val="28"/>
                        </w:rPr>
                        <w:t xml:space="preserve">omité de Control y Desempeño Institucional </w:t>
                      </w:r>
                    </w:p>
                    <w:p w:rsidR="00A76B1E" w:rsidRPr="00C73007" w:rsidRDefault="00A76B1E" w:rsidP="00FA764F">
                      <w:pPr>
                        <w:jc w:val="center"/>
                        <w:rPr>
                          <w:rFonts w:ascii="Candara" w:hAnsi="Candara"/>
                          <w:b/>
                          <w:sz w:val="28"/>
                          <w:szCs w:val="28"/>
                        </w:rPr>
                      </w:pPr>
                      <w:r>
                        <w:rPr>
                          <w:rFonts w:ascii="Candara" w:hAnsi="Candara"/>
                          <w:b/>
                          <w:sz w:val="28"/>
                          <w:szCs w:val="28"/>
                        </w:rPr>
                        <w:t>Tercera Sesión Ordinaria</w:t>
                      </w:r>
                      <w:r w:rsidRPr="00C73007">
                        <w:rPr>
                          <w:rFonts w:ascii="Candara" w:hAnsi="Candara"/>
                          <w:b/>
                          <w:sz w:val="28"/>
                          <w:szCs w:val="28"/>
                        </w:rPr>
                        <w:t xml:space="preserve"> 201</w:t>
                      </w:r>
                      <w:r>
                        <w:rPr>
                          <w:rFonts w:ascii="Candara" w:hAnsi="Candara"/>
                          <w:b/>
                          <w:sz w:val="28"/>
                          <w:szCs w:val="28"/>
                        </w:rPr>
                        <w:t>8</w:t>
                      </w:r>
                    </w:p>
                  </w:txbxContent>
                </v:textbox>
                <w10:wrap type="square"/>
              </v:shape>
            </w:pict>
          </mc:Fallback>
        </mc:AlternateContent>
      </w:r>
      <w:r w:rsidRPr="00DF2F0D">
        <w:rPr>
          <w:noProof/>
          <w:lang w:val="es-ES_tradnl" w:eastAsia="es-ES" w:bidi="ar-SA"/>
        </w:rPr>
        <w:drawing>
          <wp:anchor distT="0" distB="0" distL="114300" distR="114300" simplePos="0" relativeHeight="251664384" behindDoc="0" locked="0" layoutInCell="1" allowOverlap="1" wp14:anchorId="6632E294" wp14:editId="492B3503">
            <wp:simplePos x="0" y="0"/>
            <wp:positionH relativeFrom="margin">
              <wp:posOffset>5161280</wp:posOffset>
            </wp:positionH>
            <wp:positionV relativeFrom="paragraph">
              <wp:posOffset>-331470</wp:posOffset>
            </wp:positionV>
            <wp:extent cx="807085" cy="685800"/>
            <wp:effectExtent l="0" t="0" r="571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085" cy="685800"/>
                    </a:xfrm>
                    <a:prstGeom prst="rect">
                      <a:avLst/>
                    </a:prstGeom>
                    <a:noFill/>
                  </pic:spPr>
                </pic:pic>
              </a:graphicData>
            </a:graphic>
            <wp14:sizeRelH relativeFrom="page">
              <wp14:pctWidth>0</wp14:pctWidth>
            </wp14:sizeRelH>
            <wp14:sizeRelV relativeFrom="page">
              <wp14:pctHeight>0</wp14:pctHeight>
            </wp14:sizeRelV>
          </wp:anchor>
        </w:drawing>
      </w:r>
    </w:p>
    <w:p w:rsidR="00FA764F" w:rsidRPr="00DF2F0D" w:rsidRDefault="00FA764F" w:rsidP="00DA722A">
      <w:pPr>
        <w:spacing w:line="240" w:lineRule="auto"/>
        <w:jc w:val="left"/>
        <w:rPr>
          <w:rFonts w:ascii="Candara" w:hAnsi="Candara"/>
          <w:b/>
          <w:sz w:val="24"/>
          <w:szCs w:val="28"/>
          <w:lang w:val="es-ES_tradnl"/>
        </w:rPr>
      </w:pPr>
    </w:p>
    <w:p w:rsidR="00FA764F" w:rsidRPr="00DF2F0D" w:rsidRDefault="00FA764F" w:rsidP="00DA722A">
      <w:pPr>
        <w:spacing w:line="240" w:lineRule="auto"/>
        <w:jc w:val="left"/>
        <w:rPr>
          <w:rFonts w:ascii="Candara" w:hAnsi="Candara"/>
          <w:b/>
          <w:sz w:val="24"/>
          <w:szCs w:val="28"/>
          <w:lang w:val="es-ES_tradnl"/>
        </w:rPr>
      </w:pPr>
    </w:p>
    <w:p w:rsidR="0049397B" w:rsidRPr="00DF2F0D" w:rsidRDefault="0049397B" w:rsidP="00DF2F0D">
      <w:pPr>
        <w:spacing w:line="240" w:lineRule="auto"/>
        <w:jc w:val="center"/>
        <w:rPr>
          <w:rFonts w:ascii="Candara" w:hAnsi="Candara"/>
          <w:b/>
          <w:sz w:val="28"/>
          <w:szCs w:val="28"/>
          <w:lang w:val="es-ES_tradnl"/>
        </w:rPr>
      </w:pPr>
      <w:bookmarkStart w:id="0" w:name="_GoBack"/>
      <w:bookmarkEnd w:id="0"/>
      <w:r w:rsidRPr="00DF2F0D">
        <w:rPr>
          <w:rFonts w:ascii="Candara" w:hAnsi="Candara"/>
          <w:b/>
          <w:sz w:val="28"/>
          <w:szCs w:val="28"/>
          <w:lang w:val="es-ES_tradnl"/>
        </w:rPr>
        <w:t>VII. Desempeño Institucional</w:t>
      </w:r>
    </w:p>
    <w:p w:rsidR="0049397B" w:rsidRPr="00DF2F0D" w:rsidRDefault="0049397B" w:rsidP="0049397B">
      <w:pPr>
        <w:spacing w:line="240" w:lineRule="auto"/>
        <w:jc w:val="left"/>
        <w:rPr>
          <w:rFonts w:ascii="Candara" w:hAnsi="Candara"/>
          <w:b/>
          <w:sz w:val="24"/>
          <w:szCs w:val="28"/>
          <w:lang w:val="es-ES_tradnl"/>
        </w:rPr>
      </w:pPr>
    </w:p>
    <w:p w:rsidR="0049397B" w:rsidRPr="00DF2F0D" w:rsidRDefault="0049397B" w:rsidP="0049397B">
      <w:pPr>
        <w:spacing w:line="240" w:lineRule="auto"/>
        <w:jc w:val="left"/>
        <w:rPr>
          <w:rFonts w:ascii="Candara" w:hAnsi="Candara"/>
          <w:b/>
          <w:sz w:val="24"/>
          <w:szCs w:val="28"/>
          <w:lang w:val="es-ES_tradnl"/>
        </w:rPr>
      </w:pPr>
      <w:r w:rsidRPr="00DF2F0D">
        <w:rPr>
          <w:rFonts w:ascii="Candara" w:hAnsi="Candara"/>
          <w:b/>
          <w:sz w:val="24"/>
          <w:szCs w:val="28"/>
          <w:lang w:val="es-ES_tradnl"/>
        </w:rPr>
        <w:t>a1) Comportamiento Presupuestal de enero a junio 2018.</w:t>
      </w:r>
    </w:p>
    <w:p w:rsidR="0049397B" w:rsidRPr="00DF2F0D" w:rsidRDefault="0049397B" w:rsidP="0049397B">
      <w:pPr>
        <w:spacing w:line="240" w:lineRule="auto"/>
        <w:ind w:firstLine="708"/>
        <w:rPr>
          <w:rFonts w:ascii="Candara" w:hAnsi="Candara" w:cs="Arial"/>
          <w:sz w:val="22"/>
          <w:szCs w:val="22"/>
          <w:lang w:val="es-ES_tradnl"/>
        </w:rPr>
      </w:pPr>
    </w:p>
    <w:p w:rsidR="0049397B" w:rsidRPr="00DF2F0D" w:rsidRDefault="0049397B" w:rsidP="0049397B">
      <w:pPr>
        <w:spacing w:line="240" w:lineRule="auto"/>
        <w:rPr>
          <w:rFonts w:ascii="Candara" w:hAnsi="Candara" w:cs="Arial"/>
          <w:sz w:val="22"/>
          <w:szCs w:val="22"/>
          <w:lang w:val="es-ES_tradnl"/>
        </w:rPr>
      </w:pPr>
      <w:r w:rsidRPr="00DF2F0D">
        <w:rPr>
          <w:rFonts w:ascii="Candara" w:hAnsi="Candara" w:cs="Arial"/>
          <w:sz w:val="22"/>
          <w:szCs w:val="22"/>
          <w:lang w:val="es-ES_tradnl"/>
        </w:rPr>
        <w:t>Este informe presenta los resultados generales obtenidos en el periodo de enero a junio 2018, sobre el presupuesto aprobado y su ejercicio.</w:t>
      </w:r>
    </w:p>
    <w:p w:rsidR="0049397B" w:rsidRPr="00DF2F0D" w:rsidRDefault="0049397B" w:rsidP="0049397B">
      <w:pPr>
        <w:spacing w:line="240" w:lineRule="auto"/>
        <w:ind w:firstLine="708"/>
        <w:rPr>
          <w:rFonts w:ascii="Candara" w:hAnsi="Candara" w:cs="Arial"/>
          <w:sz w:val="22"/>
          <w:szCs w:val="22"/>
          <w:lang w:val="es-ES_tradnl"/>
        </w:rPr>
      </w:pPr>
    </w:p>
    <w:p w:rsidR="0049397B" w:rsidRPr="00DF2F0D" w:rsidRDefault="0049397B" w:rsidP="0049397B">
      <w:pPr>
        <w:spacing w:line="240" w:lineRule="auto"/>
        <w:rPr>
          <w:rFonts w:ascii="Candara" w:hAnsi="Candara" w:cs="Arial"/>
          <w:sz w:val="22"/>
          <w:szCs w:val="22"/>
          <w:lang w:val="es-ES_tradnl"/>
        </w:rPr>
      </w:pPr>
      <w:r w:rsidRPr="00DF2F0D">
        <w:rPr>
          <w:rFonts w:ascii="Candara" w:hAnsi="Candara" w:cs="Arial"/>
          <w:sz w:val="22"/>
          <w:szCs w:val="22"/>
          <w:lang w:val="es-ES_tradnl"/>
        </w:rPr>
        <w:t xml:space="preserve">De acuerdo con el oficio núm. H0000/404-O/2017 signado por el Titular de la Dirección Adjunta de Centros de Investigación del CONACyT, el presupuesto total inicial aprobado para ECOSUR para el ejercicio 2018 ascendió a 367,504.7 miles de pesos; de este monto, 327,504.7 miles de pesos corresponden a recursos fiscales y 40,000.0 miles de pesos a una estimación de los recursos propios que podrían ser captados en el año. Al cierre del periodo el presupuesto no tuvo modificaciones que implicaran incremento o reducción; sin embargo, </w:t>
      </w:r>
      <w:r w:rsidR="00923842" w:rsidRPr="00DF2F0D">
        <w:rPr>
          <w:rFonts w:ascii="Candara" w:hAnsi="Candara" w:cs="Arial"/>
          <w:sz w:val="22"/>
          <w:szCs w:val="22"/>
          <w:lang w:val="es-ES_tradnl"/>
        </w:rPr>
        <w:t xml:space="preserve">en recursos fiscales </w:t>
      </w:r>
      <w:r w:rsidRPr="00DF2F0D">
        <w:rPr>
          <w:rFonts w:ascii="Candara" w:hAnsi="Candara" w:cs="Arial"/>
          <w:sz w:val="22"/>
          <w:szCs w:val="22"/>
          <w:lang w:val="es-ES_tradnl"/>
        </w:rPr>
        <w:t>se realizaron adecuaciones compensadas entre partidas del capítulo 1000 servicios personales y entre partidas del capítulo 2000 materiales y suministros y ca</w:t>
      </w:r>
      <w:r w:rsidR="00923842" w:rsidRPr="00DF2F0D">
        <w:rPr>
          <w:rFonts w:ascii="Candara" w:hAnsi="Candara" w:cs="Arial"/>
          <w:sz w:val="22"/>
          <w:szCs w:val="22"/>
          <w:lang w:val="es-ES_tradnl"/>
        </w:rPr>
        <w:t>pítulo 3000 servicios generales</w:t>
      </w:r>
      <w:r w:rsidR="00E81602" w:rsidRPr="00DF2F0D">
        <w:rPr>
          <w:rFonts w:ascii="Candara" w:hAnsi="Candara" w:cs="Arial"/>
          <w:sz w:val="22"/>
          <w:szCs w:val="22"/>
          <w:lang w:val="es-ES_tradnl"/>
        </w:rPr>
        <w:t>,</w:t>
      </w:r>
      <w:r w:rsidR="00923842" w:rsidRPr="00DF2F0D">
        <w:rPr>
          <w:rFonts w:ascii="Candara" w:hAnsi="Candara" w:cs="Arial"/>
          <w:sz w:val="22"/>
          <w:szCs w:val="22"/>
          <w:lang w:val="es-ES_tradnl"/>
        </w:rPr>
        <w:t xml:space="preserve"> y en recursos propios se realizó </w:t>
      </w:r>
      <w:r w:rsidR="00EA1CA8" w:rsidRPr="00DF2F0D">
        <w:rPr>
          <w:rFonts w:ascii="Candara" w:hAnsi="Candara" w:cs="Arial"/>
          <w:sz w:val="22"/>
          <w:szCs w:val="22"/>
          <w:lang w:val="es-ES_tradnl"/>
        </w:rPr>
        <w:t xml:space="preserve">recalendarización del </w:t>
      </w:r>
      <w:r w:rsidR="00923842" w:rsidRPr="00DF2F0D">
        <w:rPr>
          <w:rFonts w:ascii="Candara" w:hAnsi="Candara" w:cs="Arial"/>
          <w:sz w:val="22"/>
          <w:szCs w:val="22"/>
          <w:lang w:val="es-ES_tradnl"/>
        </w:rPr>
        <w:t>presupuest</w:t>
      </w:r>
      <w:r w:rsidR="00EA1CA8" w:rsidRPr="00DF2F0D">
        <w:rPr>
          <w:rFonts w:ascii="Candara" w:hAnsi="Candara" w:cs="Arial"/>
          <w:sz w:val="22"/>
          <w:szCs w:val="22"/>
          <w:lang w:val="es-ES_tradnl"/>
        </w:rPr>
        <w:t>o</w:t>
      </w:r>
      <w:r w:rsidR="00923842" w:rsidRPr="00DF2F0D">
        <w:rPr>
          <w:rFonts w:ascii="Candara" w:hAnsi="Candara" w:cs="Arial"/>
          <w:sz w:val="22"/>
          <w:szCs w:val="22"/>
          <w:lang w:val="es-ES_tradnl"/>
        </w:rPr>
        <w:t xml:space="preserve"> </w:t>
      </w:r>
      <w:r w:rsidR="00EA1CA8" w:rsidRPr="00DF2F0D">
        <w:rPr>
          <w:rFonts w:ascii="Candara" w:hAnsi="Candara" w:cs="Arial"/>
          <w:sz w:val="22"/>
          <w:szCs w:val="22"/>
          <w:lang w:val="es-ES_tradnl"/>
        </w:rPr>
        <w:t xml:space="preserve">pasando recursos del segundo al primer </w:t>
      </w:r>
      <w:r w:rsidR="00923842" w:rsidRPr="00DF2F0D">
        <w:rPr>
          <w:rFonts w:ascii="Candara" w:hAnsi="Candara" w:cs="Arial"/>
          <w:sz w:val="22"/>
          <w:szCs w:val="22"/>
          <w:lang w:val="es-ES_tradnl"/>
        </w:rPr>
        <w:t>semestre en el capítulo 3000 servicios generales</w:t>
      </w:r>
      <w:r w:rsidR="007869CD" w:rsidRPr="00DF2F0D">
        <w:rPr>
          <w:rFonts w:ascii="Candara" w:hAnsi="Candara" w:cs="Arial"/>
          <w:sz w:val="22"/>
          <w:szCs w:val="22"/>
          <w:lang w:val="es-ES_tradnl"/>
        </w:rPr>
        <w:t>, para contar con un presupuesto</w:t>
      </w:r>
      <w:r w:rsidR="00A6035A" w:rsidRPr="00DF2F0D">
        <w:rPr>
          <w:rFonts w:ascii="Candara" w:hAnsi="Candara" w:cs="Arial"/>
          <w:sz w:val="22"/>
          <w:szCs w:val="22"/>
          <w:lang w:val="es-ES_tradnl"/>
        </w:rPr>
        <w:t xml:space="preserve"> más acorde a los ingresos captados.</w:t>
      </w:r>
      <w:r w:rsidR="00923842" w:rsidRPr="00DF2F0D">
        <w:rPr>
          <w:rFonts w:ascii="Candara" w:hAnsi="Candara" w:cs="Arial"/>
          <w:sz w:val="22"/>
          <w:szCs w:val="22"/>
          <w:lang w:val="es-ES_tradnl"/>
        </w:rPr>
        <w:t xml:space="preserve">  </w:t>
      </w:r>
      <w:r w:rsidRPr="00DF2F0D">
        <w:rPr>
          <w:rFonts w:ascii="Candara" w:hAnsi="Candara" w:cs="Arial"/>
          <w:sz w:val="22"/>
          <w:szCs w:val="22"/>
          <w:lang w:val="es-ES_tradnl"/>
        </w:rPr>
        <w:t xml:space="preserve"> </w:t>
      </w:r>
    </w:p>
    <w:p w:rsidR="0049397B" w:rsidRPr="00DF2F0D" w:rsidRDefault="0049397B" w:rsidP="0049397B">
      <w:pPr>
        <w:spacing w:line="240" w:lineRule="auto"/>
        <w:rPr>
          <w:rFonts w:ascii="Candara" w:hAnsi="Candara" w:cs="Arial"/>
          <w:sz w:val="22"/>
          <w:szCs w:val="22"/>
          <w:lang w:val="es-ES_tradnl"/>
        </w:rPr>
      </w:pPr>
    </w:p>
    <w:p w:rsidR="0049397B" w:rsidRPr="00DF2F0D" w:rsidRDefault="0049397B" w:rsidP="0049397B">
      <w:pPr>
        <w:spacing w:line="240" w:lineRule="auto"/>
        <w:rPr>
          <w:rFonts w:ascii="Candara" w:hAnsi="Candara" w:cs="Arial"/>
          <w:sz w:val="22"/>
          <w:szCs w:val="22"/>
          <w:lang w:val="es-ES_tradnl"/>
        </w:rPr>
      </w:pPr>
      <w:r w:rsidRPr="00DF2F0D">
        <w:rPr>
          <w:rFonts w:ascii="Candara" w:hAnsi="Candara" w:cs="Arial"/>
          <w:sz w:val="22"/>
          <w:szCs w:val="22"/>
          <w:lang w:val="es-ES_tradnl"/>
        </w:rPr>
        <w:t>La Tabla 1 Presupuesto por capítulo de gasto y fuente de financiamiento aprobado.</w:t>
      </w:r>
    </w:p>
    <w:p w:rsidR="0049397B" w:rsidRPr="00DF2F0D" w:rsidRDefault="0049397B" w:rsidP="0049397B">
      <w:pPr>
        <w:spacing w:line="240" w:lineRule="auto"/>
        <w:rPr>
          <w:rFonts w:ascii="Candara" w:hAnsi="Candara" w:cs="Arial"/>
          <w:sz w:val="22"/>
          <w:szCs w:val="22"/>
          <w:lang w:val="es-ES_tradnl"/>
        </w:rPr>
      </w:pPr>
    </w:p>
    <w:tbl>
      <w:tblPr>
        <w:tblW w:w="9470" w:type="dxa"/>
        <w:tblInd w:w="55" w:type="dxa"/>
        <w:tblCellMar>
          <w:left w:w="70" w:type="dxa"/>
          <w:right w:w="70" w:type="dxa"/>
        </w:tblCellMar>
        <w:tblLook w:val="04A0" w:firstRow="1" w:lastRow="0" w:firstColumn="1" w:lastColumn="0" w:noHBand="0" w:noVBand="1"/>
      </w:tblPr>
      <w:tblGrid>
        <w:gridCol w:w="2743"/>
        <w:gridCol w:w="1039"/>
        <w:gridCol w:w="932"/>
        <w:gridCol w:w="934"/>
        <w:gridCol w:w="932"/>
        <w:gridCol w:w="932"/>
        <w:gridCol w:w="932"/>
        <w:gridCol w:w="1026"/>
      </w:tblGrid>
      <w:tr w:rsidR="0049397B" w:rsidRPr="00DF2F0D" w:rsidTr="0049397B">
        <w:trPr>
          <w:trHeight w:val="272"/>
        </w:trPr>
        <w:tc>
          <w:tcPr>
            <w:tcW w:w="9470" w:type="dxa"/>
            <w:gridSpan w:val="8"/>
            <w:tcBorders>
              <w:top w:val="single" w:sz="4" w:space="0" w:color="auto"/>
              <w:left w:val="single" w:sz="4" w:space="0" w:color="auto"/>
              <w:bottom w:val="nil"/>
              <w:right w:val="single" w:sz="4" w:space="0" w:color="auto"/>
            </w:tcBorders>
            <w:shd w:val="clear" w:color="000000" w:fill="FFFFFF"/>
            <w:noWrap/>
            <w:vAlign w:val="bottom"/>
            <w:hideMark/>
          </w:tcPr>
          <w:p w:rsidR="0049397B" w:rsidRPr="00DF2F0D" w:rsidRDefault="0049397B" w:rsidP="0049397B">
            <w:pPr>
              <w:widowControl/>
              <w:spacing w:line="240" w:lineRule="auto"/>
              <w:jc w:val="center"/>
              <w:rPr>
                <w:rFonts w:ascii="Candara" w:eastAsia="Times New Roman" w:hAnsi="Candara" w:cs="Times New Roman"/>
                <w:b/>
                <w:bCs/>
                <w:color w:val="000000"/>
                <w:kern w:val="0"/>
                <w:sz w:val="22"/>
                <w:szCs w:val="22"/>
                <w:lang w:val="es-ES_tradnl" w:eastAsia="es-MX" w:bidi="ar-SA"/>
              </w:rPr>
            </w:pPr>
            <w:bookmarkStart w:id="1" w:name="RANGE!A3:H15"/>
            <w:r w:rsidRPr="00DF2F0D">
              <w:rPr>
                <w:rFonts w:ascii="Candara" w:eastAsia="Times New Roman" w:hAnsi="Candara" w:cs="Times New Roman"/>
                <w:b/>
                <w:bCs/>
                <w:color w:val="000000"/>
                <w:kern w:val="0"/>
                <w:sz w:val="22"/>
                <w:szCs w:val="22"/>
                <w:lang w:val="es-ES_tradnl" w:eastAsia="es-MX" w:bidi="ar-SA"/>
              </w:rPr>
              <w:t>Tabla 1. Afectaciones presupuestarias enero - junio 2018</w:t>
            </w:r>
            <w:bookmarkEnd w:id="1"/>
          </w:p>
        </w:tc>
      </w:tr>
      <w:tr w:rsidR="0049397B" w:rsidRPr="00DF2F0D" w:rsidTr="0049397B">
        <w:trPr>
          <w:trHeight w:val="203"/>
        </w:trPr>
        <w:tc>
          <w:tcPr>
            <w:tcW w:w="9470" w:type="dxa"/>
            <w:gridSpan w:val="8"/>
            <w:tcBorders>
              <w:top w:val="nil"/>
              <w:left w:val="single" w:sz="4" w:space="0" w:color="auto"/>
              <w:bottom w:val="single" w:sz="4" w:space="0" w:color="auto"/>
              <w:right w:val="single" w:sz="4" w:space="0" w:color="000000"/>
            </w:tcBorders>
            <w:shd w:val="clear" w:color="000000" w:fill="FFFFFF"/>
            <w:noWrap/>
            <w:vAlign w:val="bottom"/>
            <w:hideMark/>
          </w:tcPr>
          <w:p w:rsidR="0049397B" w:rsidRPr="00DF2F0D" w:rsidRDefault="0049397B" w:rsidP="0049397B">
            <w:pPr>
              <w:widowControl/>
              <w:spacing w:line="240" w:lineRule="auto"/>
              <w:jc w:val="center"/>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(Fiscales y Propios)</w:t>
            </w:r>
          </w:p>
        </w:tc>
      </w:tr>
      <w:tr w:rsidR="0049397B" w:rsidRPr="00DF2F0D" w:rsidTr="0049397B">
        <w:trPr>
          <w:trHeight w:val="407"/>
        </w:trPr>
        <w:tc>
          <w:tcPr>
            <w:tcW w:w="2743" w:type="dxa"/>
            <w:tcBorders>
              <w:top w:val="nil"/>
              <w:left w:val="single" w:sz="4" w:space="0" w:color="auto"/>
              <w:bottom w:val="single" w:sz="4" w:space="0" w:color="auto"/>
              <w:right w:val="single" w:sz="4" w:space="0" w:color="auto"/>
            </w:tcBorders>
            <w:shd w:val="clear" w:color="000000" w:fill="0070C0"/>
            <w:vAlign w:val="bottom"/>
            <w:hideMark/>
          </w:tcPr>
          <w:p w:rsidR="0049397B" w:rsidRPr="00DF2F0D" w:rsidRDefault="0049397B" w:rsidP="0049397B">
            <w:pPr>
              <w:widowControl/>
              <w:spacing w:line="240" w:lineRule="auto"/>
              <w:jc w:val="center"/>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Concepto</w:t>
            </w:r>
          </w:p>
        </w:tc>
        <w:tc>
          <w:tcPr>
            <w:tcW w:w="1039" w:type="dxa"/>
            <w:tcBorders>
              <w:top w:val="nil"/>
              <w:left w:val="nil"/>
              <w:bottom w:val="single" w:sz="4" w:space="0" w:color="auto"/>
              <w:right w:val="single" w:sz="4" w:space="0" w:color="auto"/>
            </w:tcBorders>
            <w:shd w:val="clear" w:color="000000" w:fill="0070C0"/>
            <w:vAlign w:val="bottom"/>
            <w:hideMark/>
          </w:tcPr>
          <w:p w:rsidR="0049397B" w:rsidRPr="00DF2F0D" w:rsidRDefault="0049397B" w:rsidP="0049397B">
            <w:pPr>
              <w:widowControl/>
              <w:spacing w:line="240" w:lineRule="auto"/>
              <w:jc w:val="center"/>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Capítulo     1000</w:t>
            </w:r>
          </w:p>
        </w:tc>
        <w:tc>
          <w:tcPr>
            <w:tcW w:w="932" w:type="dxa"/>
            <w:tcBorders>
              <w:top w:val="nil"/>
              <w:left w:val="nil"/>
              <w:bottom w:val="single" w:sz="4" w:space="0" w:color="auto"/>
              <w:right w:val="single" w:sz="4" w:space="0" w:color="auto"/>
            </w:tcBorders>
            <w:shd w:val="clear" w:color="000000" w:fill="0070C0"/>
            <w:vAlign w:val="bottom"/>
            <w:hideMark/>
          </w:tcPr>
          <w:p w:rsidR="0049397B" w:rsidRPr="00DF2F0D" w:rsidRDefault="0049397B" w:rsidP="0049397B">
            <w:pPr>
              <w:widowControl/>
              <w:spacing w:line="240" w:lineRule="auto"/>
              <w:jc w:val="center"/>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Capítulo     2000</w:t>
            </w:r>
          </w:p>
        </w:tc>
        <w:tc>
          <w:tcPr>
            <w:tcW w:w="934" w:type="dxa"/>
            <w:tcBorders>
              <w:top w:val="nil"/>
              <w:left w:val="nil"/>
              <w:bottom w:val="single" w:sz="4" w:space="0" w:color="auto"/>
              <w:right w:val="single" w:sz="4" w:space="0" w:color="auto"/>
            </w:tcBorders>
            <w:shd w:val="clear" w:color="000000" w:fill="0070C0"/>
            <w:vAlign w:val="bottom"/>
            <w:hideMark/>
          </w:tcPr>
          <w:p w:rsidR="0049397B" w:rsidRPr="00DF2F0D" w:rsidRDefault="0049397B" w:rsidP="0049397B">
            <w:pPr>
              <w:widowControl/>
              <w:spacing w:line="240" w:lineRule="auto"/>
              <w:jc w:val="center"/>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Capítulo   3000</w:t>
            </w:r>
          </w:p>
        </w:tc>
        <w:tc>
          <w:tcPr>
            <w:tcW w:w="932" w:type="dxa"/>
            <w:tcBorders>
              <w:top w:val="nil"/>
              <w:left w:val="nil"/>
              <w:bottom w:val="single" w:sz="4" w:space="0" w:color="auto"/>
              <w:right w:val="single" w:sz="4" w:space="0" w:color="auto"/>
            </w:tcBorders>
            <w:shd w:val="clear" w:color="000000" w:fill="0070C0"/>
            <w:vAlign w:val="bottom"/>
            <w:hideMark/>
          </w:tcPr>
          <w:p w:rsidR="0049397B" w:rsidRPr="00DF2F0D" w:rsidRDefault="0049397B" w:rsidP="0049397B">
            <w:pPr>
              <w:widowControl/>
              <w:spacing w:line="240" w:lineRule="auto"/>
              <w:jc w:val="center"/>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Capítulo 4000</w:t>
            </w:r>
          </w:p>
        </w:tc>
        <w:tc>
          <w:tcPr>
            <w:tcW w:w="932" w:type="dxa"/>
            <w:tcBorders>
              <w:top w:val="nil"/>
              <w:left w:val="nil"/>
              <w:bottom w:val="single" w:sz="4" w:space="0" w:color="auto"/>
              <w:right w:val="single" w:sz="4" w:space="0" w:color="auto"/>
            </w:tcBorders>
            <w:shd w:val="clear" w:color="000000" w:fill="0070C0"/>
            <w:vAlign w:val="bottom"/>
            <w:hideMark/>
          </w:tcPr>
          <w:p w:rsidR="0049397B" w:rsidRPr="00DF2F0D" w:rsidRDefault="0049397B" w:rsidP="0049397B">
            <w:pPr>
              <w:widowControl/>
              <w:spacing w:line="240" w:lineRule="auto"/>
              <w:jc w:val="center"/>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Capítulo     5000</w:t>
            </w:r>
          </w:p>
        </w:tc>
        <w:tc>
          <w:tcPr>
            <w:tcW w:w="932" w:type="dxa"/>
            <w:tcBorders>
              <w:top w:val="nil"/>
              <w:left w:val="nil"/>
              <w:bottom w:val="single" w:sz="4" w:space="0" w:color="auto"/>
              <w:right w:val="single" w:sz="4" w:space="0" w:color="auto"/>
            </w:tcBorders>
            <w:shd w:val="clear" w:color="000000" w:fill="0070C0"/>
            <w:vAlign w:val="bottom"/>
            <w:hideMark/>
          </w:tcPr>
          <w:p w:rsidR="0049397B" w:rsidRPr="00DF2F0D" w:rsidRDefault="0049397B" w:rsidP="0049397B">
            <w:pPr>
              <w:widowControl/>
              <w:spacing w:line="240" w:lineRule="auto"/>
              <w:jc w:val="center"/>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Capítulo 6000</w:t>
            </w:r>
          </w:p>
        </w:tc>
        <w:tc>
          <w:tcPr>
            <w:tcW w:w="1025" w:type="dxa"/>
            <w:tcBorders>
              <w:top w:val="nil"/>
              <w:left w:val="nil"/>
              <w:bottom w:val="single" w:sz="4" w:space="0" w:color="auto"/>
              <w:right w:val="single" w:sz="4" w:space="0" w:color="auto"/>
            </w:tcBorders>
            <w:shd w:val="clear" w:color="000000" w:fill="0070C0"/>
            <w:vAlign w:val="bottom"/>
            <w:hideMark/>
          </w:tcPr>
          <w:p w:rsidR="0049397B" w:rsidRPr="00DF2F0D" w:rsidRDefault="0049397B" w:rsidP="0049397B">
            <w:pPr>
              <w:widowControl/>
              <w:spacing w:line="240" w:lineRule="auto"/>
              <w:jc w:val="center"/>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Total</w:t>
            </w:r>
          </w:p>
        </w:tc>
      </w:tr>
      <w:tr w:rsidR="0049397B" w:rsidRPr="00DF2F0D" w:rsidTr="0049397B">
        <w:trPr>
          <w:trHeight w:val="378"/>
        </w:trPr>
        <w:tc>
          <w:tcPr>
            <w:tcW w:w="2743" w:type="dxa"/>
            <w:tcBorders>
              <w:top w:val="nil"/>
              <w:left w:val="single" w:sz="4" w:space="0" w:color="auto"/>
              <w:bottom w:val="single" w:sz="4" w:space="0" w:color="auto"/>
              <w:right w:val="nil"/>
            </w:tcBorders>
            <w:shd w:val="clear" w:color="auto" w:fill="auto"/>
            <w:vAlign w:val="bottom"/>
            <w:hideMark/>
          </w:tcPr>
          <w:p w:rsidR="0049397B" w:rsidRPr="00DF2F0D" w:rsidRDefault="0049397B" w:rsidP="0049397B">
            <w:pPr>
              <w:widowControl/>
              <w:spacing w:line="240" w:lineRule="auto"/>
              <w:jc w:val="lef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Presupuesto original                            (Fiscales).-</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269,414.0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8,614.5 </w:t>
            </w:r>
          </w:p>
        </w:tc>
        <w:tc>
          <w:tcPr>
            <w:tcW w:w="934"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45,176.1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4,300.1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0.0 </w:t>
            </w:r>
          </w:p>
        </w:tc>
        <w:tc>
          <w:tcPr>
            <w:tcW w:w="1025"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327,504.7 </w:t>
            </w:r>
          </w:p>
        </w:tc>
      </w:tr>
      <w:tr w:rsidR="0049397B" w:rsidRPr="00DF2F0D" w:rsidTr="0049397B">
        <w:trPr>
          <w:trHeight w:val="378"/>
        </w:trPr>
        <w:tc>
          <w:tcPr>
            <w:tcW w:w="2743" w:type="dxa"/>
            <w:tcBorders>
              <w:top w:val="nil"/>
              <w:left w:val="single" w:sz="4" w:space="0" w:color="auto"/>
              <w:bottom w:val="single" w:sz="4" w:space="0" w:color="auto"/>
              <w:right w:val="single" w:sz="4" w:space="0" w:color="auto"/>
            </w:tcBorders>
            <w:shd w:val="clear" w:color="auto" w:fill="auto"/>
            <w:vAlign w:val="bottom"/>
            <w:hideMark/>
          </w:tcPr>
          <w:p w:rsidR="0049397B" w:rsidRPr="00DF2F0D" w:rsidRDefault="0049397B" w:rsidP="0049397B">
            <w:pPr>
              <w:widowControl/>
              <w:spacing w:line="240" w:lineRule="auto"/>
              <w:jc w:val="lef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Ampliación presupuestal</w:t>
            </w:r>
          </w:p>
        </w:tc>
        <w:tc>
          <w:tcPr>
            <w:tcW w:w="1039"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4"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1025"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0.0 </w:t>
            </w:r>
          </w:p>
        </w:tc>
      </w:tr>
      <w:tr w:rsidR="0049397B" w:rsidRPr="00DF2F0D" w:rsidTr="0049397B">
        <w:trPr>
          <w:trHeight w:val="378"/>
        </w:trPr>
        <w:tc>
          <w:tcPr>
            <w:tcW w:w="2743" w:type="dxa"/>
            <w:tcBorders>
              <w:top w:val="nil"/>
              <w:left w:val="single" w:sz="4" w:space="0" w:color="auto"/>
              <w:bottom w:val="single" w:sz="4" w:space="0" w:color="auto"/>
              <w:right w:val="single" w:sz="4" w:space="0" w:color="auto"/>
            </w:tcBorders>
            <w:shd w:val="clear" w:color="auto" w:fill="auto"/>
            <w:vAlign w:val="bottom"/>
            <w:hideMark/>
          </w:tcPr>
          <w:p w:rsidR="0049397B" w:rsidRPr="00DF2F0D" w:rsidRDefault="0049397B" w:rsidP="0049397B">
            <w:pPr>
              <w:widowControl/>
              <w:spacing w:line="240" w:lineRule="auto"/>
              <w:jc w:val="lef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Reducción presupuestal</w:t>
            </w:r>
          </w:p>
        </w:tc>
        <w:tc>
          <w:tcPr>
            <w:tcW w:w="1039"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4"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1025"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0.0 </w:t>
            </w:r>
          </w:p>
        </w:tc>
      </w:tr>
      <w:tr w:rsidR="0049397B" w:rsidRPr="00DF2F0D" w:rsidTr="0049397B">
        <w:trPr>
          <w:trHeight w:val="378"/>
        </w:trPr>
        <w:tc>
          <w:tcPr>
            <w:tcW w:w="2743" w:type="dxa"/>
            <w:tcBorders>
              <w:top w:val="nil"/>
              <w:left w:val="single" w:sz="4" w:space="0" w:color="auto"/>
              <w:bottom w:val="single" w:sz="4" w:space="0" w:color="auto"/>
              <w:right w:val="nil"/>
            </w:tcBorders>
            <w:shd w:val="clear" w:color="auto" w:fill="auto"/>
            <w:vAlign w:val="bottom"/>
            <w:hideMark/>
          </w:tcPr>
          <w:p w:rsidR="0049397B" w:rsidRPr="00DF2F0D" w:rsidRDefault="0049397B" w:rsidP="0049397B">
            <w:pPr>
              <w:widowControl/>
              <w:spacing w:line="240" w:lineRule="auto"/>
              <w:jc w:val="lef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Movimiento compensado presupuestal</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FF0000"/>
                <w:kern w:val="0"/>
                <w:sz w:val="22"/>
                <w:szCs w:val="22"/>
                <w:lang w:val="es-ES_tradnl" w:eastAsia="es-MX" w:bidi="ar-SA"/>
              </w:rPr>
              <w:t xml:space="preserve">-1,234.0 </w:t>
            </w:r>
          </w:p>
        </w:tc>
        <w:tc>
          <w:tcPr>
            <w:tcW w:w="934"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1,234.0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1025"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0.0 </w:t>
            </w:r>
          </w:p>
        </w:tc>
      </w:tr>
      <w:tr w:rsidR="0049397B" w:rsidRPr="00DF2F0D" w:rsidTr="0049397B">
        <w:trPr>
          <w:trHeight w:val="378"/>
        </w:trPr>
        <w:tc>
          <w:tcPr>
            <w:tcW w:w="2743" w:type="dxa"/>
            <w:tcBorders>
              <w:top w:val="nil"/>
              <w:left w:val="single" w:sz="4" w:space="0" w:color="auto"/>
              <w:bottom w:val="single" w:sz="4" w:space="0" w:color="auto"/>
              <w:right w:val="nil"/>
            </w:tcBorders>
            <w:shd w:val="clear" w:color="auto" w:fill="auto"/>
            <w:vAlign w:val="bottom"/>
            <w:hideMark/>
          </w:tcPr>
          <w:p w:rsidR="0049397B" w:rsidRPr="00DF2F0D" w:rsidRDefault="0049397B" w:rsidP="0049397B">
            <w:pPr>
              <w:widowControl/>
              <w:spacing w:line="240" w:lineRule="auto"/>
              <w:jc w:val="lef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Total afectaciones presupuestales.-</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FF0000"/>
                <w:kern w:val="0"/>
                <w:sz w:val="22"/>
                <w:szCs w:val="22"/>
                <w:lang w:val="es-ES_tradnl" w:eastAsia="es-MX" w:bidi="ar-SA"/>
              </w:rPr>
              <w:t xml:space="preserve">-1,234.0 </w:t>
            </w:r>
          </w:p>
        </w:tc>
        <w:tc>
          <w:tcPr>
            <w:tcW w:w="934"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1,234.0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0.0 </w:t>
            </w:r>
          </w:p>
        </w:tc>
        <w:tc>
          <w:tcPr>
            <w:tcW w:w="1025"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0.0 </w:t>
            </w:r>
          </w:p>
        </w:tc>
      </w:tr>
      <w:tr w:rsidR="0049397B" w:rsidRPr="00DF2F0D" w:rsidTr="0049397B">
        <w:trPr>
          <w:trHeight w:val="378"/>
        </w:trPr>
        <w:tc>
          <w:tcPr>
            <w:tcW w:w="2743" w:type="dxa"/>
            <w:tcBorders>
              <w:top w:val="nil"/>
              <w:left w:val="single" w:sz="4" w:space="0" w:color="auto"/>
              <w:bottom w:val="single" w:sz="4" w:space="0" w:color="auto"/>
              <w:right w:val="nil"/>
            </w:tcBorders>
            <w:shd w:val="clear" w:color="auto" w:fill="auto"/>
            <w:vAlign w:val="bottom"/>
            <w:hideMark/>
          </w:tcPr>
          <w:p w:rsidR="0049397B" w:rsidRPr="00DF2F0D" w:rsidRDefault="0049397B" w:rsidP="0049397B">
            <w:pPr>
              <w:widowControl/>
              <w:spacing w:line="240" w:lineRule="auto"/>
              <w:jc w:val="lef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Presupuesto modificado (Fiscales).-</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269,414.0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7,380.5 </w:t>
            </w:r>
          </w:p>
        </w:tc>
        <w:tc>
          <w:tcPr>
            <w:tcW w:w="934"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46,410.1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4,300.1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0.0 </w:t>
            </w:r>
          </w:p>
        </w:tc>
        <w:tc>
          <w:tcPr>
            <w:tcW w:w="1025"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327,504.7 </w:t>
            </w:r>
          </w:p>
        </w:tc>
      </w:tr>
      <w:tr w:rsidR="0049397B" w:rsidRPr="00DF2F0D" w:rsidTr="0049397B">
        <w:trPr>
          <w:trHeight w:val="378"/>
        </w:trPr>
        <w:tc>
          <w:tcPr>
            <w:tcW w:w="2743" w:type="dxa"/>
            <w:tcBorders>
              <w:top w:val="nil"/>
              <w:left w:val="single" w:sz="4" w:space="0" w:color="auto"/>
              <w:bottom w:val="single" w:sz="4" w:space="0" w:color="auto"/>
              <w:right w:val="nil"/>
            </w:tcBorders>
            <w:shd w:val="clear" w:color="auto" w:fill="auto"/>
            <w:vAlign w:val="bottom"/>
            <w:hideMark/>
          </w:tcPr>
          <w:p w:rsidR="0049397B" w:rsidRPr="00DF2F0D" w:rsidRDefault="0049397B" w:rsidP="0049397B">
            <w:pPr>
              <w:widowControl/>
              <w:spacing w:line="240" w:lineRule="auto"/>
              <w:jc w:val="lef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Presupuesto original                 (Propios).-</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8,952.4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5,131.1 </w:t>
            </w:r>
          </w:p>
        </w:tc>
        <w:tc>
          <w:tcPr>
            <w:tcW w:w="934"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22,116.5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3,800.0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0.0 </w:t>
            </w:r>
          </w:p>
        </w:tc>
        <w:tc>
          <w:tcPr>
            <w:tcW w:w="1025"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40,000.0 </w:t>
            </w:r>
          </w:p>
        </w:tc>
      </w:tr>
      <w:tr w:rsidR="0049397B" w:rsidRPr="00DF2F0D" w:rsidTr="0049397B">
        <w:trPr>
          <w:trHeight w:val="378"/>
        </w:trPr>
        <w:tc>
          <w:tcPr>
            <w:tcW w:w="2743" w:type="dxa"/>
            <w:tcBorders>
              <w:top w:val="nil"/>
              <w:left w:val="single" w:sz="4" w:space="0" w:color="auto"/>
              <w:bottom w:val="single" w:sz="4" w:space="0" w:color="auto"/>
              <w:right w:val="nil"/>
            </w:tcBorders>
            <w:shd w:val="clear" w:color="auto" w:fill="auto"/>
            <w:vAlign w:val="bottom"/>
            <w:hideMark/>
          </w:tcPr>
          <w:p w:rsidR="0049397B" w:rsidRPr="00DF2F0D" w:rsidRDefault="0049397B" w:rsidP="0049397B">
            <w:pPr>
              <w:widowControl/>
              <w:spacing w:line="240" w:lineRule="auto"/>
              <w:jc w:val="lef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Movimiento compensado presupuestal</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4"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color w:val="000000"/>
                <w:kern w:val="0"/>
                <w:sz w:val="22"/>
                <w:szCs w:val="22"/>
                <w:lang w:val="es-ES_tradnl" w:eastAsia="es-MX" w:bidi="ar-SA"/>
              </w:rPr>
            </w:pPr>
            <w:r w:rsidRPr="00DF2F0D">
              <w:rPr>
                <w:rFonts w:ascii="Candara" w:eastAsia="Times New Roman" w:hAnsi="Candara" w:cs="Times New Roman"/>
                <w:color w:val="000000"/>
                <w:kern w:val="0"/>
                <w:sz w:val="22"/>
                <w:szCs w:val="22"/>
                <w:lang w:val="es-ES_tradnl" w:eastAsia="es-MX" w:bidi="ar-SA"/>
              </w:rPr>
              <w:t xml:space="preserve">0.0 </w:t>
            </w:r>
          </w:p>
        </w:tc>
        <w:tc>
          <w:tcPr>
            <w:tcW w:w="1025"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000000"/>
                <w:kern w:val="0"/>
                <w:sz w:val="22"/>
                <w:szCs w:val="22"/>
                <w:lang w:val="es-ES_tradnl" w:eastAsia="es-MX" w:bidi="ar-SA"/>
              </w:rPr>
            </w:pPr>
            <w:r w:rsidRPr="00DF2F0D">
              <w:rPr>
                <w:rFonts w:ascii="Candara" w:eastAsia="Times New Roman" w:hAnsi="Candara" w:cs="Times New Roman"/>
                <w:b/>
                <w:bCs/>
                <w:color w:val="000000"/>
                <w:kern w:val="0"/>
                <w:sz w:val="22"/>
                <w:szCs w:val="22"/>
                <w:lang w:val="es-ES_tradnl" w:eastAsia="es-MX" w:bidi="ar-SA"/>
              </w:rPr>
              <w:t xml:space="preserve">0.0 </w:t>
            </w:r>
          </w:p>
        </w:tc>
      </w:tr>
      <w:tr w:rsidR="0049397B" w:rsidRPr="00DF2F0D" w:rsidTr="0049397B">
        <w:trPr>
          <w:trHeight w:val="378"/>
        </w:trPr>
        <w:tc>
          <w:tcPr>
            <w:tcW w:w="2743" w:type="dxa"/>
            <w:tcBorders>
              <w:top w:val="nil"/>
              <w:left w:val="single" w:sz="4" w:space="0" w:color="auto"/>
              <w:bottom w:val="single" w:sz="4" w:space="0" w:color="auto"/>
              <w:right w:val="nil"/>
            </w:tcBorders>
            <w:shd w:val="clear" w:color="auto" w:fill="auto"/>
            <w:vAlign w:val="bottom"/>
            <w:hideMark/>
          </w:tcPr>
          <w:p w:rsidR="0049397B" w:rsidRPr="00DF2F0D" w:rsidRDefault="0049397B" w:rsidP="0049397B">
            <w:pPr>
              <w:widowControl/>
              <w:spacing w:line="240" w:lineRule="auto"/>
              <w:jc w:val="lef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Presupuesto modificado (Propios).-</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8,952.4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5,131.1 </w:t>
            </w:r>
          </w:p>
        </w:tc>
        <w:tc>
          <w:tcPr>
            <w:tcW w:w="934"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22,116.5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3,800.0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0.0 </w:t>
            </w:r>
          </w:p>
        </w:tc>
        <w:tc>
          <w:tcPr>
            <w:tcW w:w="1025" w:type="dxa"/>
            <w:tcBorders>
              <w:top w:val="nil"/>
              <w:left w:val="nil"/>
              <w:bottom w:val="single" w:sz="4" w:space="0" w:color="auto"/>
              <w:right w:val="single" w:sz="4" w:space="0" w:color="auto"/>
            </w:tcBorders>
            <w:shd w:val="clear" w:color="auto" w:fill="auto"/>
            <w:noWrap/>
            <w:vAlign w:val="bottom"/>
            <w:hideMark/>
          </w:tcPr>
          <w:p w:rsidR="0049397B" w:rsidRPr="00DF2F0D" w:rsidRDefault="0049397B" w:rsidP="0049397B">
            <w:pPr>
              <w:widowControl/>
              <w:spacing w:line="240" w:lineRule="auto"/>
              <w:jc w:val="right"/>
              <w:rPr>
                <w:rFonts w:ascii="Candara" w:eastAsia="Times New Roman" w:hAnsi="Candara" w:cs="Times New Roman"/>
                <w:b/>
                <w:bCs/>
                <w:kern w:val="0"/>
                <w:sz w:val="22"/>
                <w:szCs w:val="22"/>
                <w:lang w:val="es-ES_tradnl" w:eastAsia="es-MX" w:bidi="ar-SA"/>
              </w:rPr>
            </w:pPr>
            <w:r w:rsidRPr="00DF2F0D">
              <w:rPr>
                <w:rFonts w:ascii="Candara" w:eastAsia="Times New Roman" w:hAnsi="Candara" w:cs="Times New Roman"/>
                <w:b/>
                <w:bCs/>
                <w:kern w:val="0"/>
                <w:sz w:val="22"/>
                <w:szCs w:val="22"/>
                <w:lang w:val="es-ES_tradnl" w:eastAsia="es-MX" w:bidi="ar-SA"/>
              </w:rPr>
              <w:t xml:space="preserve">40,000.0 </w:t>
            </w:r>
          </w:p>
        </w:tc>
      </w:tr>
      <w:tr w:rsidR="0049397B" w:rsidRPr="00DF2F0D" w:rsidTr="0049397B">
        <w:trPr>
          <w:trHeight w:val="407"/>
        </w:trPr>
        <w:tc>
          <w:tcPr>
            <w:tcW w:w="2743" w:type="dxa"/>
            <w:tcBorders>
              <w:top w:val="nil"/>
              <w:left w:val="single" w:sz="4" w:space="0" w:color="auto"/>
              <w:bottom w:val="single" w:sz="4" w:space="0" w:color="auto"/>
              <w:right w:val="nil"/>
            </w:tcBorders>
            <w:shd w:val="clear" w:color="000000" w:fill="0070C0"/>
            <w:vAlign w:val="bottom"/>
            <w:hideMark/>
          </w:tcPr>
          <w:p w:rsidR="0049397B" w:rsidRPr="00DF2F0D" w:rsidRDefault="0049397B" w:rsidP="0049397B">
            <w:pPr>
              <w:widowControl/>
              <w:spacing w:line="240" w:lineRule="auto"/>
              <w:jc w:val="center"/>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Presupuesto total modificado (Fiscales y Propios).-</w:t>
            </w:r>
          </w:p>
        </w:tc>
        <w:tc>
          <w:tcPr>
            <w:tcW w:w="1039" w:type="dxa"/>
            <w:tcBorders>
              <w:top w:val="nil"/>
              <w:left w:val="single" w:sz="4" w:space="0" w:color="auto"/>
              <w:bottom w:val="single" w:sz="4" w:space="0" w:color="auto"/>
              <w:right w:val="single" w:sz="4" w:space="0" w:color="auto"/>
            </w:tcBorders>
            <w:shd w:val="clear" w:color="000000" w:fill="0070C0"/>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 xml:space="preserve">278,366.4 </w:t>
            </w:r>
          </w:p>
        </w:tc>
        <w:tc>
          <w:tcPr>
            <w:tcW w:w="932" w:type="dxa"/>
            <w:tcBorders>
              <w:top w:val="nil"/>
              <w:left w:val="nil"/>
              <w:bottom w:val="single" w:sz="4" w:space="0" w:color="auto"/>
              <w:right w:val="single" w:sz="4" w:space="0" w:color="auto"/>
            </w:tcBorders>
            <w:shd w:val="clear" w:color="000000" w:fill="0070C0"/>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 xml:space="preserve">12,511.6 </w:t>
            </w:r>
          </w:p>
        </w:tc>
        <w:tc>
          <w:tcPr>
            <w:tcW w:w="934" w:type="dxa"/>
            <w:tcBorders>
              <w:top w:val="nil"/>
              <w:left w:val="nil"/>
              <w:bottom w:val="single" w:sz="4" w:space="0" w:color="auto"/>
              <w:right w:val="single" w:sz="4" w:space="0" w:color="auto"/>
            </w:tcBorders>
            <w:shd w:val="clear" w:color="000000" w:fill="0070C0"/>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 xml:space="preserve">68,526.6 </w:t>
            </w:r>
          </w:p>
        </w:tc>
        <w:tc>
          <w:tcPr>
            <w:tcW w:w="932" w:type="dxa"/>
            <w:tcBorders>
              <w:top w:val="nil"/>
              <w:left w:val="nil"/>
              <w:bottom w:val="single" w:sz="4" w:space="0" w:color="auto"/>
              <w:right w:val="single" w:sz="4" w:space="0" w:color="auto"/>
            </w:tcBorders>
            <w:shd w:val="clear" w:color="000000" w:fill="0070C0"/>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 xml:space="preserve">8,100.1 </w:t>
            </w:r>
          </w:p>
        </w:tc>
        <w:tc>
          <w:tcPr>
            <w:tcW w:w="932" w:type="dxa"/>
            <w:tcBorders>
              <w:top w:val="nil"/>
              <w:left w:val="nil"/>
              <w:bottom w:val="single" w:sz="4" w:space="0" w:color="auto"/>
              <w:right w:val="single" w:sz="4" w:space="0" w:color="auto"/>
            </w:tcBorders>
            <w:shd w:val="clear" w:color="000000" w:fill="0070C0"/>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 xml:space="preserve">0.0 </w:t>
            </w:r>
          </w:p>
        </w:tc>
        <w:tc>
          <w:tcPr>
            <w:tcW w:w="932" w:type="dxa"/>
            <w:tcBorders>
              <w:top w:val="nil"/>
              <w:left w:val="nil"/>
              <w:bottom w:val="single" w:sz="4" w:space="0" w:color="auto"/>
              <w:right w:val="single" w:sz="4" w:space="0" w:color="auto"/>
            </w:tcBorders>
            <w:shd w:val="clear" w:color="000000" w:fill="0070C0"/>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 xml:space="preserve">0.0 </w:t>
            </w:r>
          </w:p>
        </w:tc>
        <w:tc>
          <w:tcPr>
            <w:tcW w:w="1025" w:type="dxa"/>
            <w:tcBorders>
              <w:top w:val="nil"/>
              <w:left w:val="nil"/>
              <w:bottom w:val="single" w:sz="4" w:space="0" w:color="auto"/>
              <w:right w:val="single" w:sz="4" w:space="0" w:color="auto"/>
            </w:tcBorders>
            <w:shd w:val="clear" w:color="000000" w:fill="0070C0"/>
            <w:noWrap/>
            <w:vAlign w:val="bottom"/>
            <w:hideMark/>
          </w:tcPr>
          <w:p w:rsidR="0049397B" w:rsidRPr="00DF2F0D" w:rsidRDefault="0049397B" w:rsidP="0049397B">
            <w:pPr>
              <w:widowControl/>
              <w:spacing w:line="240" w:lineRule="auto"/>
              <w:jc w:val="right"/>
              <w:rPr>
                <w:rFonts w:ascii="Candara" w:eastAsia="Times New Roman" w:hAnsi="Candara" w:cs="Times New Roman"/>
                <w:b/>
                <w:bCs/>
                <w:color w:val="FFFFFF"/>
                <w:kern w:val="0"/>
                <w:sz w:val="22"/>
                <w:szCs w:val="22"/>
                <w:lang w:val="es-ES_tradnl" w:eastAsia="es-MX" w:bidi="ar-SA"/>
              </w:rPr>
            </w:pPr>
            <w:r w:rsidRPr="00DF2F0D">
              <w:rPr>
                <w:rFonts w:ascii="Candara" w:eastAsia="Times New Roman" w:hAnsi="Candara" w:cs="Times New Roman"/>
                <w:b/>
                <w:bCs/>
                <w:color w:val="FFFFFF"/>
                <w:kern w:val="0"/>
                <w:sz w:val="22"/>
                <w:szCs w:val="22"/>
                <w:lang w:val="es-ES_tradnl" w:eastAsia="es-MX" w:bidi="ar-SA"/>
              </w:rPr>
              <w:t xml:space="preserve">367,504.7 </w:t>
            </w:r>
          </w:p>
        </w:tc>
      </w:tr>
    </w:tbl>
    <w:p w:rsidR="00F82A85" w:rsidRPr="00DF2F0D" w:rsidRDefault="00BA6D30" w:rsidP="0014340B">
      <w:pPr>
        <w:spacing w:line="240" w:lineRule="auto"/>
        <w:jc w:val="center"/>
        <w:rPr>
          <w:rFonts w:ascii="Candara" w:hAnsi="Candara" w:cs="Arial"/>
          <w:sz w:val="22"/>
          <w:szCs w:val="22"/>
          <w:lang w:val="es-ES_tradnl"/>
        </w:rPr>
        <w:sectPr w:rsidR="00F82A85" w:rsidRPr="00DF2F0D" w:rsidSect="00EA3F22">
          <w:footerReference w:type="even" r:id="rId13"/>
          <w:footerReference w:type="default" r:id="rId14"/>
          <w:pgSz w:w="12240" w:h="15840"/>
          <w:pgMar w:top="1418" w:right="1418" w:bottom="1418" w:left="1418" w:header="709" w:footer="709" w:gutter="0"/>
          <w:cols w:space="708"/>
          <w:docGrid w:linePitch="360"/>
        </w:sectPr>
      </w:pPr>
      <w:r w:rsidRPr="00DF2F0D">
        <w:rPr>
          <w:rFonts w:ascii="Candara" w:hAnsi="Candara" w:cs="Arial"/>
          <w:noProof/>
          <w:sz w:val="22"/>
          <w:szCs w:val="22"/>
          <w:lang w:val="es-ES_tradnl" w:eastAsia="es-ES" w:bidi="ar-SA"/>
        </w:rPr>
        <w:lastRenderedPageBreak/>
        <mc:AlternateContent>
          <mc:Choice Requires="wps">
            <w:drawing>
              <wp:anchor distT="0" distB="0" distL="114300" distR="114300" simplePos="0" relativeHeight="251668480" behindDoc="0" locked="0" layoutInCell="1" allowOverlap="1" wp14:anchorId="199D877D" wp14:editId="4B638041">
                <wp:simplePos x="0" y="0"/>
                <wp:positionH relativeFrom="column">
                  <wp:posOffset>-117704</wp:posOffset>
                </wp:positionH>
                <wp:positionV relativeFrom="paragraph">
                  <wp:posOffset>7263333</wp:posOffset>
                </wp:positionV>
                <wp:extent cx="5983834" cy="1506931"/>
                <wp:effectExtent l="0" t="0" r="17145" b="1714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834" cy="1506931"/>
                        </a:xfrm>
                        <a:prstGeom prst="rect">
                          <a:avLst/>
                        </a:prstGeom>
                        <a:solidFill>
                          <a:srgbClr val="FFFFFF"/>
                        </a:solidFill>
                        <a:ln w="9525">
                          <a:solidFill>
                            <a:schemeClr val="bg1"/>
                          </a:solidFill>
                          <a:miter lim="800000"/>
                          <a:headEnd/>
                          <a:tailEnd/>
                        </a:ln>
                      </wps:spPr>
                      <wps:txbx>
                        <w:txbxContent>
                          <w:p w:rsidR="00A76B1E" w:rsidRDefault="00A76B1E">
                            <w:pPr>
                              <w:rPr>
                                <w:rFonts w:ascii="Candara" w:hAnsi="Candara" w:cs="Tahoma"/>
                                <w:b/>
                                <w:sz w:val="14"/>
                                <w:szCs w:val="14"/>
                              </w:rPr>
                            </w:pPr>
                            <w:r w:rsidRPr="00BA6D30">
                              <w:rPr>
                                <w:rFonts w:ascii="Candara" w:hAnsi="Candara" w:cs="Tahoma"/>
                                <w:b/>
                                <w:sz w:val="14"/>
                                <w:szCs w:val="14"/>
                              </w:rPr>
                              <w:t>EXPLICACIÓN A LAS VARIACIONES:</w:t>
                            </w:r>
                          </w:p>
                          <w:p w:rsidR="00A76B1E" w:rsidRDefault="00A76B1E">
                            <w:pPr>
                              <w:rPr>
                                <w:rFonts w:ascii="Candara" w:hAnsi="Candara" w:cs="Tahoma"/>
                                <w:b/>
                                <w:sz w:val="14"/>
                                <w:szCs w:val="14"/>
                              </w:rPr>
                            </w:pPr>
                            <w:r w:rsidRPr="008A613B">
                              <w:rPr>
                                <w:rFonts w:ascii="Candara" w:hAnsi="Candara" w:cs="Tahoma"/>
                                <w:b/>
                                <w:sz w:val="14"/>
                                <w:szCs w:val="14"/>
                              </w:rPr>
                              <w:t>El presupuesto programado de ECOSUR en el periodo de enero - junio 2018 fue de 184,393.2 miles de pesos, distribuidos en 163,943.1 miles de pesos de recursos fiscales (88.91%) y 20,450.1 miles de pesos de recursos propios (11.</w:t>
                            </w:r>
                            <w:r>
                              <w:rPr>
                                <w:rFonts w:ascii="Candara" w:hAnsi="Candara" w:cs="Tahoma"/>
                                <w:b/>
                                <w:sz w:val="14"/>
                                <w:szCs w:val="14"/>
                              </w:rPr>
                              <w:t>0</w:t>
                            </w:r>
                            <w:r w:rsidRPr="008A613B">
                              <w:rPr>
                                <w:rFonts w:ascii="Candara" w:hAnsi="Candara" w:cs="Tahoma"/>
                                <w:b/>
                                <w:sz w:val="14"/>
                                <w:szCs w:val="14"/>
                              </w:rPr>
                              <w:t>9%). El presupuesto de recursos fiscales programado al periodo fue ministrado en su totalidad. En recursos propios el ingreso captado más devengado fue el 119.51% del presupuesto programado en el periodo. La mayor captación de recursos propios en relación con lo programado se originó principalmente por las gestiones del personal académico ante diversas fuentes de financiamiento tanto nacionales como internacionales para la aprobación de nuevos proyectos de investigación. Cabe mencionar que el área sustantiva se ha visto favorecida en las diversas convocatorias emitidas por CONACyT, pero estos recursos se vienen manejando como Fondos en Administración y no se reflejan como parte del presupuesto de la Institución. El presupuesto total erogado en gasto corriente en el periodo ascendió a 175,163.4 miles de pesos (incluye el devengado no pagado), lo que representó 94.99% del presupuesto programado en el periodo. Como se puede apreciar en las cifras presentadas, de manera general se ve un ejercicio del gasto apegado a lo programado, lo cual puede considerarse aceptable para este primer semestre del ejercicio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665F346" id="_x0000_s1027" type="#_x0000_t202" style="position:absolute;left:0;text-align:left;margin-left:-9.25pt;margin-top:571.9pt;width:471.15pt;height:1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" strokecolor="white [3212]">
                <v:textbox>
                  <w:txbxContent>
                    <w:p w:rsidR="00A76B1E" w:rsidRDefault="00A76B1E">
                      <w:pPr>
                        <w:rPr>
                          <w:rFonts w:ascii="Candara" w:hAnsi="Candara" w:cs="Tahoma"/>
                          <w:b/>
                          <w:sz w:val="14"/>
                          <w:szCs w:val="14"/>
                        </w:rPr>
                      </w:pPr>
                      <w:r w:rsidRPr="00BA6D30">
                        <w:rPr>
                          <w:rFonts w:ascii="Candara" w:hAnsi="Candara" w:cs="Tahoma"/>
                          <w:b/>
                          <w:sz w:val="14"/>
                          <w:szCs w:val="14"/>
                        </w:rPr>
                        <w:t>EXPLICACIÓN A LAS VARIACIONES:</w:t>
                      </w:r>
                    </w:p>
                    <w:p w:rsidR="00A76B1E" w:rsidRDefault="00A76B1E">
                      <w:pPr>
                        <w:rPr>
                          <w:rFonts w:ascii="Candara" w:hAnsi="Candara" w:cs="Tahoma"/>
                          <w:b/>
                          <w:sz w:val="14"/>
                          <w:szCs w:val="14"/>
                        </w:rPr>
                      </w:pPr>
                      <w:r w:rsidRPr="008A613B">
                        <w:rPr>
                          <w:rFonts w:ascii="Candara" w:hAnsi="Candara" w:cs="Tahoma"/>
                          <w:b/>
                          <w:sz w:val="14"/>
                          <w:szCs w:val="14"/>
                        </w:rPr>
                        <w:t>El presupuesto programado de ECOSUR en el periodo de enero - junio 2018 fue de 184,393.2 miles de pesos, distribuidos en 163,943.1 miles de pesos de recursos fiscales (88.91%) y 20,450.1 miles de pesos de recursos propios (11.</w:t>
                      </w:r>
                      <w:r>
                        <w:rPr>
                          <w:rFonts w:ascii="Candara" w:hAnsi="Candara" w:cs="Tahoma"/>
                          <w:b/>
                          <w:sz w:val="14"/>
                          <w:szCs w:val="14"/>
                        </w:rPr>
                        <w:t>0</w:t>
                      </w:r>
                      <w:r w:rsidRPr="008A613B">
                        <w:rPr>
                          <w:rFonts w:ascii="Candara" w:hAnsi="Candara" w:cs="Tahoma"/>
                          <w:b/>
                          <w:sz w:val="14"/>
                          <w:szCs w:val="14"/>
                        </w:rPr>
                        <w:t>9%). El presupuesto de recursos fiscales programado al periodo fue ministrado en su totalidad. En recursos propios el ingreso captado más devengado fue el 119.51% del presupuesto programado en el periodo. La mayor captación de recursos propios en relación con lo programado se originó principalmente por las gestiones del personal académico ante diversas fuentes de financiamiento tanto nacionales como internacionales para la aprobación de nuevos proyectos de investigación. Cabe mencionar que el área sustantiva se ha visto favorecida en las diversas convocatorias emitidas por CONACyT, pero estos recursos se vienen manejando como Fondos en Administración y no se reflejan como parte del presupuesto de la Institución. El presupuesto total erogado en gasto corriente en el periodo ascendió a 175,163.4 miles de pesos (incluye el devengado no pagado), lo que representó 94.99% del presupuesto programado en el periodo. Como se puede apreciar en las cifras presentadas, de manera general se ve un ejercicio del gasto apegado a lo programado, lo cual puede considerarse aceptable para este primer semestre del ejercicio 2018.</w:t>
                      </w:r>
                    </w:p>
                  </w:txbxContent>
                </v:textbox>
              </v:shape>
            </w:pict>
          </mc:Fallback>
        </mc:AlternateContent>
      </w:r>
      <w:r w:rsidR="00172CD5" w:rsidRPr="00DF2F0D">
        <w:rPr>
          <w:noProof/>
          <w:lang w:val="es-ES_tradnl" w:eastAsia="es-ES" w:bidi="ar-SA"/>
        </w:rPr>
        <w:drawing>
          <wp:inline distT="0" distB="0" distL="0" distR="0" wp14:anchorId="433C2025" wp14:editId="74A9FFCF">
            <wp:extent cx="5969783" cy="7258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7260187"/>
                    </a:xfrm>
                    <a:prstGeom prst="rect">
                      <a:avLst/>
                    </a:prstGeom>
                    <a:noFill/>
                    <a:ln>
                      <a:noFill/>
                    </a:ln>
                  </pic:spPr>
                </pic:pic>
              </a:graphicData>
            </a:graphic>
          </wp:inline>
        </w:drawing>
      </w:r>
    </w:p>
    <w:p w:rsidR="00EA3F22" w:rsidRPr="00DF2F0D" w:rsidRDefault="00D3668C" w:rsidP="00EA3F22">
      <w:pPr>
        <w:spacing w:line="240" w:lineRule="auto"/>
        <w:rPr>
          <w:rFonts w:ascii="Candara" w:hAnsi="Candara" w:cs="Arial"/>
          <w:sz w:val="22"/>
          <w:szCs w:val="22"/>
          <w:lang w:val="es-ES_tradnl"/>
        </w:rPr>
        <w:sectPr w:rsidR="00EA3F22" w:rsidRPr="00DF2F0D" w:rsidSect="00EA3F22">
          <w:pgSz w:w="15840" w:h="12240" w:orient="landscape"/>
          <w:pgMar w:top="1418" w:right="1418" w:bottom="1418" w:left="1418" w:header="709" w:footer="709" w:gutter="0"/>
          <w:cols w:space="708"/>
          <w:docGrid w:linePitch="360"/>
        </w:sectPr>
      </w:pPr>
      <w:r w:rsidRPr="00DF2F0D">
        <w:rPr>
          <w:noProof/>
          <w:lang w:val="es-ES_tradnl" w:eastAsia="es-ES" w:bidi="ar-SA"/>
        </w:rPr>
        <w:lastRenderedPageBreak/>
        <w:drawing>
          <wp:inline distT="0" distB="0" distL="0" distR="0" wp14:anchorId="38C79645" wp14:editId="5BDCA876">
            <wp:extent cx="8257540" cy="60789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7540" cy="6078955"/>
                    </a:xfrm>
                    <a:prstGeom prst="rect">
                      <a:avLst/>
                    </a:prstGeom>
                    <a:noFill/>
                    <a:ln>
                      <a:noFill/>
                    </a:ln>
                  </pic:spPr>
                </pic:pic>
              </a:graphicData>
            </a:graphic>
          </wp:inline>
        </w:drawing>
      </w:r>
    </w:p>
    <w:p w:rsidR="00384EAA" w:rsidRPr="00DF2F0D" w:rsidRDefault="00384EAA" w:rsidP="00384EAA">
      <w:pPr>
        <w:spacing w:line="276" w:lineRule="auto"/>
        <w:rPr>
          <w:rFonts w:ascii="Candara" w:hAnsi="Candara" w:cs="Arial"/>
          <w:b/>
          <w:sz w:val="22"/>
          <w:szCs w:val="22"/>
          <w:lang w:val="es-ES_tradnl"/>
        </w:rPr>
      </w:pPr>
      <w:r w:rsidRPr="00DF2F0D">
        <w:rPr>
          <w:rFonts w:ascii="Candara" w:hAnsi="Candara" w:cs="Arial"/>
          <w:b/>
          <w:sz w:val="22"/>
          <w:szCs w:val="22"/>
          <w:lang w:val="es-ES_tradnl"/>
        </w:rPr>
        <w:lastRenderedPageBreak/>
        <w:t xml:space="preserve">Captación de Ingresos del </w:t>
      </w:r>
      <w:r w:rsidR="003E67CF" w:rsidRPr="00DF2F0D">
        <w:rPr>
          <w:rFonts w:ascii="Candara" w:hAnsi="Candara" w:cs="Arial"/>
          <w:b/>
          <w:sz w:val="22"/>
          <w:szCs w:val="22"/>
          <w:lang w:val="es-ES_tradnl"/>
        </w:rPr>
        <w:t>periodo enero-</w:t>
      </w:r>
      <w:r w:rsidR="0049397B" w:rsidRPr="00DF2F0D">
        <w:rPr>
          <w:rFonts w:ascii="Candara" w:hAnsi="Candara" w:cs="Arial"/>
          <w:b/>
          <w:sz w:val="22"/>
          <w:szCs w:val="22"/>
          <w:lang w:val="es-ES_tradnl"/>
        </w:rPr>
        <w:t>junio</w:t>
      </w:r>
      <w:r w:rsidR="00C0004E" w:rsidRPr="00DF2F0D">
        <w:rPr>
          <w:rFonts w:ascii="Candara" w:hAnsi="Candara" w:cs="Arial"/>
          <w:b/>
          <w:sz w:val="22"/>
          <w:szCs w:val="22"/>
          <w:lang w:val="es-ES_tradnl"/>
        </w:rPr>
        <w:t xml:space="preserve"> </w:t>
      </w:r>
      <w:r w:rsidRPr="00DF2F0D">
        <w:rPr>
          <w:rFonts w:ascii="Candara" w:hAnsi="Candara" w:cs="Arial"/>
          <w:b/>
          <w:sz w:val="22"/>
          <w:szCs w:val="22"/>
          <w:lang w:val="es-ES_tradnl"/>
        </w:rPr>
        <w:t>201</w:t>
      </w:r>
      <w:r w:rsidR="00C17702" w:rsidRPr="00DF2F0D">
        <w:rPr>
          <w:rFonts w:ascii="Candara" w:hAnsi="Candara" w:cs="Arial"/>
          <w:b/>
          <w:sz w:val="22"/>
          <w:szCs w:val="22"/>
          <w:lang w:val="es-ES_tradnl"/>
        </w:rPr>
        <w:t>8</w:t>
      </w:r>
      <w:r w:rsidR="00E62EC6" w:rsidRPr="00DF2F0D">
        <w:rPr>
          <w:rFonts w:ascii="Candara" w:hAnsi="Candara" w:cs="Arial"/>
          <w:b/>
          <w:sz w:val="22"/>
          <w:szCs w:val="22"/>
          <w:lang w:val="es-ES_tradnl"/>
        </w:rPr>
        <w:t>.</w:t>
      </w:r>
    </w:p>
    <w:p w:rsidR="00384EAA" w:rsidRPr="00DF2F0D" w:rsidRDefault="00384EAA" w:rsidP="00384EAA">
      <w:pPr>
        <w:spacing w:line="276" w:lineRule="auto"/>
        <w:rPr>
          <w:rFonts w:ascii="Candara" w:hAnsi="Candara" w:cs="Arial"/>
          <w:b/>
          <w:sz w:val="22"/>
          <w:szCs w:val="22"/>
          <w:lang w:val="es-ES_tradnl"/>
        </w:rPr>
      </w:pPr>
    </w:p>
    <w:p w:rsidR="004F7026" w:rsidRPr="00DF2F0D" w:rsidRDefault="004F7026" w:rsidP="004F7026">
      <w:pPr>
        <w:spacing w:line="276" w:lineRule="auto"/>
        <w:rPr>
          <w:rFonts w:ascii="Candara" w:hAnsi="Candara" w:cs="Arial"/>
          <w:sz w:val="22"/>
          <w:szCs w:val="22"/>
          <w:lang w:val="es-ES_tradnl"/>
        </w:rPr>
      </w:pPr>
      <w:r w:rsidRPr="00DF2F0D">
        <w:rPr>
          <w:rFonts w:ascii="Candara" w:hAnsi="Candara" w:cs="Arial"/>
          <w:sz w:val="22"/>
          <w:szCs w:val="22"/>
          <w:lang w:val="es-ES_tradnl"/>
        </w:rPr>
        <w:t>ECOSUR tuvo en el periodo enero-</w:t>
      </w:r>
      <w:r w:rsidR="00E87EE0" w:rsidRPr="00DF2F0D">
        <w:rPr>
          <w:rFonts w:ascii="Candara" w:hAnsi="Candara" w:cs="Arial"/>
          <w:sz w:val="22"/>
          <w:szCs w:val="22"/>
          <w:lang w:val="es-ES_tradnl"/>
        </w:rPr>
        <w:t>junio</w:t>
      </w:r>
      <w:r w:rsidRPr="00DF2F0D">
        <w:rPr>
          <w:rFonts w:ascii="Candara" w:hAnsi="Candara" w:cs="Arial"/>
          <w:sz w:val="22"/>
          <w:szCs w:val="22"/>
          <w:lang w:val="es-ES_tradnl"/>
        </w:rPr>
        <w:t xml:space="preserve"> 201</w:t>
      </w:r>
      <w:r w:rsidR="006451FE" w:rsidRPr="00DF2F0D">
        <w:rPr>
          <w:rFonts w:ascii="Candara" w:hAnsi="Candara" w:cs="Arial"/>
          <w:sz w:val="22"/>
          <w:szCs w:val="22"/>
          <w:lang w:val="es-ES_tradnl"/>
        </w:rPr>
        <w:t>8</w:t>
      </w:r>
      <w:r w:rsidRPr="00DF2F0D">
        <w:rPr>
          <w:rFonts w:ascii="Candara" w:hAnsi="Candara" w:cs="Arial"/>
          <w:sz w:val="22"/>
          <w:szCs w:val="22"/>
          <w:lang w:val="es-ES_tradnl"/>
        </w:rPr>
        <w:t xml:space="preserve"> un presupuesto programado de </w:t>
      </w:r>
      <w:r w:rsidR="00E87EE0" w:rsidRPr="00DF2F0D">
        <w:rPr>
          <w:rFonts w:ascii="Candara" w:hAnsi="Candara" w:cs="Arial"/>
          <w:sz w:val="22"/>
          <w:szCs w:val="22"/>
          <w:lang w:val="es-ES_tradnl"/>
        </w:rPr>
        <w:t>18</w:t>
      </w:r>
      <w:r w:rsidR="008A613B" w:rsidRPr="00DF2F0D">
        <w:rPr>
          <w:rFonts w:ascii="Candara" w:hAnsi="Candara" w:cs="Arial"/>
          <w:sz w:val="22"/>
          <w:szCs w:val="22"/>
          <w:lang w:val="es-ES_tradnl"/>
        </w:rPr>
        <w:t>4</w:t>
      </w:r>
      <w:r w:rsidR="00E87EE0" w:rsidRPr="00DF2F0D">
        <w:rPr>
          <w:rFonts w:ascii="Candara" w:hAnsi="Candara" w:cs="Arial"/>
          <w:sz w:val="22"/>
          <w:szCs w:val="22"/>
          <w:lang w:val="es-ES_tradnl"/>
        </w:rPr>
        <w:t>,</w:t>
      </w:r>
      <w:r w:rsidR="008A613B" w:rsidRPr="00DF2F0D">
        <w:rPr>
          <w:rFonts w:ascii="Candara" w:hAnsi="Candara" w:cs="Arial"/>
          <w:sz w:val="22"/>
          <w:szCs w:val="22"/>
          <w:lang w:val="es-ES_tradnl"/>
        </w:rPr>
        <w:t>393.2</w:t>
      </w:r>
      <w:r w:rsidRPr="00DF2F0D">
        <w:rPr>
          <w:rFonts w:ascii="Candara" w:hAnsi="Candara" w:cs="Arial"/>
          <w:sz w:val="22"/>
          <w:szCs w:val="22"/>
          <w:lang w:val="es-ES_tradnl"/>
        </w:rPr>
        <w:t xml:space="preserve"> miles de pesos, distribuido en </w:t>
      </w:r>
      <w:r w:rsidR="00E87EE0" w:rsidRPr="00DF2F0D">
        <w:rPr>
          <w:rFonts w:ascii="Candara" w:hAnsi="Candara" w:cs="Arial"/>
          <w:sz w:val="22"/>
          <w:szCs w:val="22"/>
          <w:lang w:val="es-ES_tradnl"/>
        </w:rPr>
        <w:t>163,943.1</w:t>
      </w:r>
      <w:r w:rsidRPr="00DF2F0D">
        <w:rPr>
          <w:rFonts w:ascii="Candara" w:hAnsi="Candara" w:cs="Arial"/>
          <w:sz w:val="22"/>
          <w:szCs w:val="22"/>
          <w:lang w:val="es-ES_tradnl"/>
        </w:rPr>
        <w:t xml:space="preserve"> miles de pesos de recursos fiscales (</w:t>
      </w:r>
      <w:r w:rsidR="008A613B" w:rsidRPr="00DF2F0D">
        <w:rPr>
          <w:rFonts w:ascii="Candara" w:hAnsi="Candara" w:cs="Arial"/>
          <w:sz w:val="22"/>
          <w:szCs w:val="22"/>
          <w:lang w:val="es-ES_tradnl"/>
        </w:rPr>
        <w:t>88.91</w:t>
      </w:r>
      <w:r w:rsidRPr="00DF2F0D">
        <w:rPr>
          <w:rFonts w:ascii="Candara" w:hAnsi="Candara" w:cs="Arial"/>
          <w:sz w:val="22"/>
          <w:szCs w:val="22"/>
          <w:lang w:val="es-ES_tradnl"/>
        </w:rPr>
        <w:t xml:space="preserve">%) y </w:t>
      </w:r>
      <w:r w:rsidR="008A613B" w:rsidRPr="00DF2F0D">
        <w:rPr>
          <w:rFonts w:ascii="Candara" w:hAnsi="Candara" w:cs="Arial"/>
          <w:sz w:val="22"/>
          <w:szCs w:val="22"/>
          <w:lang w:val="es-ES_tradnl"/>
        </w:rPr>
        <w:t>20,450.1</w:t>
      </w:r>
      <w:r w:rsidRPr="00DF2F0D">
        <w:rPr>
          <w:rFonts w:ascii="Candara" w:hAnsi="Candara" w:cs="Arial"/>
          <w:sz w:val="22"/>
          <w:szCs w:val="22"/>
          <w:lang w:val="es-ES_tradnl"/>
        </w:rPr>
        <w:t xml:space="preserve"> miles de pesos de recursos propios (</w:t>
      </w:r>
      <w:r w:rsidR="008A613B" w:rsidRPr="00DF2F0D">
        <w:rPr>
          <w:rFonts w:ascii="Candara" w:hAnsi="Candara" w:cs="Arial"/>
          <w:sz w:val="22"/>
          <w:szCs w:val="22"/>
          <w:lang w:val="es-ES_tradnl"/>
        </w:rPr>
        <w:t>11.09</w:t>
      </w:r>
      <w:r w:rsidRPr="00DF2F0D">
        <w:rPr>
          <w:rFonts w:ascii="Candara" w:hAnsi="Candara" w:cs="Arial"/>
          <w:sz w:val="22"/>
          <w:szCs w:val="22"/>
          <w:lang w:val="es-ES_tradnl"/>
        </w:rPr>
        <w:t xml:space="preserve">%). Mientras el presupuesto de recursos fiscales programado al periodo fue ministrado en su totalidad, en recursos propios </w:t>
      </w:r>
      <w:r w:rsidR="004E6114" w:rsidRPr="00DF2F0D">
        <w:rPr>
          <w:rFonts w:ascii="Candara" w:hAnsi="Candara" w:cs="Arial"/>
          <w:sz w:val="22"/>
          <w:szCs w:val="22"/>
          <w:lang w:val="es-ES_tradnl"/>
        </w:rPr>
        <w:t xml:space="preserve">el </w:t>
      </w:r>
      <w:r w:rsidR="00261300" w:rsidRPr="00DF2F0D">
        <w:rPr>
          <w:rFonts w:ascii="Candara" w:hAnsi="Candara" w:cs="Arial"/>
          <w:sz w:val="22"/>
          <w:szCs w:val="22"/>
          <w:lang w:val="es-ES_tradnl"/>
        </w:rPr>
        <w:t xml:space="preserve">ingreso </w:t>
      </w:r>
      <w:r w:rsidR="004E6114" w:rsidRPr="00DF2F0D">
        <w:rPr>
          <w:rFonts w:ascii="Candara" w:hAnsi="Candara" w:cs="Arial"/>
          <w:sz w:val="22"/>
          <w:szCs w:val="22"/>
          <w:lang w:val="es-ES_tradnl"/>
        </w:rPr>
        <w:t>captado más devengado fue</w:t>
      </w:r>
      <w:r w:rsidRPr="00DF2F0D">
        <w:rPr>
          <w:rFonts w:ascii="Candara" w:hAnsi="Candara" w:cs="Arial"/>
          <w:sz w:val="22"/>
          <w:szCs w:val="22"/>
          <w:lang w:val="es-ES_tradnl"/>
        </w:rPr>
        <w:t xml:space="preserve"> </w:t>
      </w:r>
      <w:r w:rsidR="0074334D" w:rsidRPr="00DF2F0D">
        <w:rPr>
          <w:rFonts w:ascii="Candara" w:hAnsi="Candara" w:cs="Arial"/>
          <w:sz w:val="22"/>
          <w:szCs w:val="22"/>
          <w:lang w:val="es-ES_tradnl"/>
        </w:rPr>
        <w:t>mayor en un 19.51</w:t>
      </w:r>
      <w:r w:rsidRPr="00DF2F0D">
        <w:rPr>
          <w:rFonts w:ascii="Candara" w:hAnsi="Candara" w:cs="Arial"/>
          <w:sz w:val="22"/>
          <w:szCs w:val="22"/>
          <w:lang w:val="es-ES_tradnl"/>
        </w:rPr>
        <w:t xml:space="preserve">% </w:t>
      </w:r>
      <w:r w:rsidR="0074334D" w:rsidRPr="00DF2F0D">
        <w:rPr>
          <w:rFonts w:ascii="Candara" w:hAnsi="Candara" w:cs="Arial"/>
          <w:sz w:val="22"/>
          <w:szCs w:val="22"/>
          <w:lang w:val="es-ES_tradnl"/>
        </w:rPr>
        <w:t xml:space="preserve">en comparación con el </w:t>
      </w:r>
      <w:r w:rsidRPr="00DF2F0D">
        <w:rPr>
          <w:rFonts w:ascii="Candara" w:hAnsi="Candara" w:cs="Arial"/>
          <w:sz w:val="22"/>
          <w:szCs w:val="22"/>
          <w:lang w:val="es-ES_tradnl"/>
        </w:rPr>
        <w:t>programado. (Tabla 2)</w:t>
      </w:r>
    </w:p>
    <w:p w:rsidR="004F7026" w:rsidRPr="00DF2F0D" w:rsidRDefault="004F7026" w:rsidP="004F7026">
      <w:pPr>
        <w:spacing w:line="276" w:lineRule="auto"/>
        <w:rPr>
          <w:rFonts w:ascii="Candara" w:hAnsi="Candara" w:cs="Arial"/>
          <w:sz w:val="22"/>
          <w:szCs w:val="22"/>
          <w:lang w:val="es-ES_tradnl"/>
        </w:rPr>
      </w:pPr>
    </w:p>
    <w:p w:rsidR="004F7026" w:rsidRPr="00DF2F0D" w:rsidRDefault="004F7026" w:rsidP="004F7026">
      <w:pPr>
        <w:spacing w:line="276" w:lineRule="auto"/>
        <w:outlineLvl w:val="0"/>
        <w:rPr>
          <w:rFonts w:ascii="Candara" w:hAnsi="Candara" w:cs="Arial"/>
          <w:sz w:val="22"/>
          <w:szCs w:val="22"/>
          <w:lang w:val="es-ES_tradnl"/>
        </w:rPr>
      </w:pPr>
      <w:r w:rsidRPr="00DF2F0D">
        <w:rPr>
          <w:rFonts w:ascii="Candara" w:hAnsi="Candara" w:cs="Arial"/>
          <w:sz w:val="22"/>
          <w:szCs w:val="22"/>
          <w:lang w:val="es-ES_tradnl"/>
        </w:rPr>
        <w:t xml:space="preserve">Esta mayor captación de recursos propios en el primer </w:t>
      </w:r>
      <w:r w:rsidR="00DC264F" w:rsidRPr="00DF2F0D">
        <w:rPr>
          <w:rFonts w:ascii="Candara" w:hAnsi="Candara" w:cs="Arial"/>
          <w:sz w:val="22"/>
          <w:szCs w:val="22"/>
          <w:lang w:val="es-ES_tradnl"/>
        </w:rPr>
        <w:t xml:space="preserve">semestre </w:t>
      </w:r>
      <w:r w:rsidRPr="00DF2F0D">
        <w:rPr>
          <w:rFonts w:ascii="Candara" w:hAnsi="Candara" w:cs="Arial"/>
          <w:sz w:val="22"/>
          <w:szCs w:val="22"/>
          <w:lang w:val="es-ES_tradnl"/>
        </w:rPr>
        <w:t xml:space="preserve">coadyuva al cumplimiento de los indicadores de gestión presupuestal y demuestra el esfuerzo que la institución está realizando por lograr la meta establecida en la captación de dichos recursos. A pesar de la situación económica que está atravesando el país, el área sustantiva en coordinación con la Dirección de Vinculación han venido realizando acciones en busca de una mayor captación de recursos en el país y en el extranjero, se han contactado y fortalecido las relaciones con instituciones de gobierno, universidades, empresas del sector productivo y cooperativas con las que pueden realizar proyectos o proporcionar los servicios que realiza ECOSUR y se espera que al cierre del ejercicio se cumpla con la meta estimada de captación de recursos propios. </w:t>
      </w:r>
    </w:p>
    <w:p w:rsidR="004F7026" w:rsidRPr="00DF2F0D" w:rsidRDefault="004F7026" w:rsidP="004F7026">
      <w:pPr>
        <w:spacing w:line="276" w:lineRule="auto"/>
        <w:outlineLvl w:val="0"/>
        <w:rPr>
          <w:rFonts w:ascii="Candara" w:hAnsi="Candara" w:cs="Arial"/>
          <w:sz w:val="22"/>
          <w:szCs w:val="22"/>
          <w:lang w:val="es-ES_tradnl"/>
        </w:rPr>
      </w:pPr>
    </w:p>
    <w:p w:rsidR="00384EAA" w:rsidRPr="00DF2F0D" w:rsidRDefault="00384EAA" w:rsidP="00384EAA">
      <w:pPr>
        <w:spacing w:line="240" w:lineRule="auto"/>
        <w:rPr>
          <w:rFonts w:ascii="Candara" w:hAnsi="Candara"/>
          <w:b/>
          <w:sz w:val="22"/>
          <w:szCs w:val="22"/>
          <w:lang w:val="es-ES_tradnl"/>
        </w:rPr>
      </w:pPr>
      <w:r w:rsidRPr="00DF2F0D">
        <w:rPr>
          <w:rFonts w:ascii="Candara" w:hAnsi="Candara"/>
          <w:b/>
          <w:sz w:val="22"/>
          <w:szCs w:val="22"/>
          <w:lang w:val="es-ES_tradnl"/>
        </w:rPr>
        <w:t>Relación de conceptos que integran el rubro de ingresos propios (diversos).</w:t>
      </w:r>
    </w:p>
    <w:p w:rsidR="00384EAA" w:rsidRPr="00DF2F0D" w:rsidRDefault="00384EAA" w:rsidP="00384EAA">
      <w:pPr>
        <w:spacing w:line="240" w:lineRule="auto"/>
        <w:rPr>
          <w:rFonts w:ascii="Candara" w:hAnsi="Candara"/>
          <w:sz w:val="22"/>
          <w:szCs w:val="22"/>
          <w:lang w:val="es-ES_tradnl"/>
        </w:rPr>
      </w:pPr>
    </w:p>
    <w:p w:rsidR="00384EAA" w:rsidRPr="00DF2F0D" w:rsidRDefault="00384EAA" w:rsidP="00384EAA">
      <w:pPr>
        <w:pStyle w:val="Prrafodelista"/>
        <w:numPr>
          <w:ilvl w:val="0"/>
          <w:numId w:val="15"/>
        </w:numPr>
        <w:rPr>
          <w:rFonts w:ascii="Candara" w:hAnsi="Candara"/>
          <w:sz w:val="22"/>
          <w:szCs w:val="22"/>
          <w:lang w:val="es-ES_tradnl"/>
        </w:rPr>
      </w:pPr>
      <w:r w:rsidRPr="00DF2F0D">
        <w:rPr>
          <w:rFonts w:ascii="Candara" w:hAnsi="Candara"/>
          <w:sz w:val="22"/>
          <w:szCs w:val="22"/>
          <w:lang w:val="es-ES_tradnl"/>
        </w:rPr>
        <w:t>Convenios o contratos para el desarrollo de proyectos específicos de investigación o servicios.</w:t>
      </w:r>
    </w:p>
    <w:p w:rsidR="00384EAA" w:rsidRPr="00DF2F0D" w:rsidRDefault="00384EAA" w:rsidP="00384EAA">
      <w:pPr>
        <w:pStyle w:val="Prrafodelista"/>
        <w:numPr>
          <w:ilvl w:val="0"/>
          <w:numId w:val="15"/>
        </w:numPr>
        <w:rPr>
          <w:rFonts w:ascii="Candara" w:hAnsi="Candara"/>
          <w:sz w:val="22"/>
          <w:szCs w:val="22"/>
          <w:lang w:val="es-ES_tradnl"/>
        </w:rPr>
      </w:pPr>
      <w:r w:rsidRPr="00DF2F0D">
        <w:rPr>
          <w:rFonts w:ascii="Candara" w:hAnsi="Candara"/>
          <w:sz w:val="22"/>
          <w:szCs w:val="22"/>
          <w:lang w:val="es-ES_tradnl"/>
        </w:rPr>
        <w:t xml:space="preserve">Contratos por la prestación de servicios a través de consultorías. </w:t>
      </w:r>
    </w:p>
    <w:p w:rsidR="00384EAA" w:rsidRPr="00DF2F0D" w:rsidRDefault="00384EAA" w:rsidP="00384EAA">
      <w:pPr>
        <w:pStyle w:val="Prrafodelista"/>
        <w:numPr>
          <w:ilvl w:val="0"/>
          <w:numId w:val="15"/>
        </w:numPr>
        <w:rPr>
          <w:rFonts w:ascii="Candara" w:hAnsi="Candara"/>
          <w:sz w:val="22"/>
          <w:szCs w:val="22"/>
          <w:lang w:val="es-ES_tradnl"/>
        </w:rPr>
      </w:pPr>
      <w:r w:rsidRPr="00DF2F0D">
        <w:rPr>
          <w:rFonts w:ascii="Candara" w:hAnsi="Candara"/>
          <w:sz w:val="22"/>
          <w:szCs w:val="22"/>
          <w:lang w:val="es-ES_tradnl"/>
        </w:rPr>
        <w:t xml:space="preserve">Servicios de análisis muestras y diagnósticos de laboratorios (agua, suelos, etc.). </w:t>
      </w:r>
    </w:p>
    <w:p w:rsidR="00384EAA" w:rsidRPr="00DF2F0D" w:rsidRDefault="00384EAA" w:rsidP="00384EAA">
      <w:pPr>
        <w:pStyle w:val="Prrafodelista"/>
        <w:numPr>
          <w:ilvl w:val="0"/>
          <w:numId w:val="15"/>
        </w:numPr>
        <w:rPr>
          <w:rFonts w:ascii="Candara" w:hAnsi="Candara"/>
          <w:sz w:val="22"/>
          <w:szCs w:val="22"/>
          <w:lang w:val="es-ES_tradnl"/>
        </w:rPr>
      </w:pPr>
      <w:r w:rsidRPr="00DF2F0D">
        <w:rPr>
          <w:rFonts w:ascii="Candara" w:hAnsi="Candara"/>
          <w:sz w:val="22"/>
          <w:szCs w:val="22"/>
          <w:lang w:val="es-ES_tradnl"/>
        </w:rPr>
        <w:t>Cuotas de recuperación por impartir talleres, seminarios, diplomados, cursos de capacitación presenciales o en línea.</w:t>
      </w:r>
    </w:p>
    <w:p w:rsidR="00384EAA" w:rsidRPr="00DF2F0D" w:rsidRDefault="00384EAA" w:rsidP="00384EAA">
      <w:pPr>
        <w:pStyle w:val="Prrafodelista"/>
        <w:numPr>
          <w:ilvl w:val="0"/>
          <w:numId w:val="15"/>
        </w:numPr>
        <w:rPr>
          <w:rFonts w:ascii="Candara" w:hAnsi="Candara"/>
          <w:sz w:val="22"/>
          <w:szCs w:val="22"/>
          <w:lang w:val="es-ES_tradnl"/>
        </w:rPr>
      </w:pPr>
      <w:r w:rsidRPr="00DF2F0D">
        <w:rPr>
          <w:rFonts w:ascii="Candara" w:hAnsi="Candara"/>
          <w:sz w:val="22"/>
          <w:szCs w:val="22"/>
          <w:lang w:val="es-ES_tradnl"/>
        </w:rPr>
        <w:t>Cuotas de admisión al Jardín Botánico (Chetumal).</w:t>
      </w:r>
    </w:p>
    <w:p w:rsidR="00384EAA" w:rsidRPr="00DF2F0D" w:rsidRDefault="00384EAA" w:rsidP="00384EAA">
      <w:pPr>
        <w:pStyle w:val="Prrafodelista"/>
        <w:numPr>
          <w:ilvl w:val="0"/>
          <w:numId w:val="15"/>
        </w:numPr>
        <w:rPr>
          <w:rFonts w:ascii="Candara" w:hAnsi="Candara"/>
          <w:sz w:val="22"/>
          <w:szCs w:val="22"/>
          <w:lang w:val="es-ES_tradnl"/>
        </w:rPr>
      </w:pPr>
      <w:r w:rsidRPr="00DF2F0D">
        <w:rPr>
          <w:rFonts w:ascii="Candara" w:hAnsi="Candara"/>
          <w:sz w:val="22"/>
          <w:szCs w:val="22"/>
          <w:lang w:val="es-ES_tradnl"/>
        </w:rPr>
        <w:t xml:space="preserve">Realización de estudios específicos, asistencia técnica y supervisión de proyectos (miel, foros urbanos, monitoreo, manejo y conservación de recursos naturales, etc.). </w:t>
      </w:r>
    </w:p>
    <w:p w:rsidR="00384EAA" w:rsidRPr="00DF2F0D" w:rsidRDefault="00384EAA" w:rsidP="00384EAA">
      <w:pPr>
        <w:pStyle w:val="Prrafodelista"/>
        <w:numPr>
          <w:ilvl w:val="0"/>
          <w:numId w:val="15"/>
        </w:numPr>
        <w:rPr>
          <w:rFonts w:ascii="Candara" w:hAnsi="Candara"/>
          <w:b/>
          <w:sz w:val="22"/>
          <w:szCs w:val="22"/>
          <w:lang w:val="es-ES_tradnl"/>
        </w:rPr>
      </w:pPr>
      <w:r w:rsidRPr="00DF2F0D">
        <w:rPr>
          <w:rFonts w:ascii="Candara" w:hAnsi="Candara"/>
          <w:sz w:val="22"/>
          <w:szCs w:val="22"/>
          <w:lang w:val="es-ES_tradnl"/>
        </w:rPr>
        <w:t>Elaboración de mapas de puntos de investigación (LAIGE).</w:t>
      </w:r>
    </w:p>
    <w:p w:rsidR="00384EAA" w:rsidRPr="00DF2F0D" w:rsidRDefault="00384EAA" w:rsidP="00384EAA">
      <w:pPr>
        <w:spacing w:line="276" w:lineRule="auto"/>
        <w:outlineLvl w:val="0"/>
        <w:rPr>
          <w:rFonts w:ascii="Candara" w:hAnsi="Candara" w:cs="Arial"/>
          <w:sz w:val="22"/>
          <w:szCs w:val="22"/>
          <w:lang w:val="es-ES_tradnl"/>
        </w:rPr>
      </w:pPr>
    </w:p>
    <w:p w:rsidR="00282EB9" w:rsidRPr="00DF2F0D" w:rsidRDefault="00282EB9" w:rsidP="003B5A56">
      <w:pPr>
        <w:spacing w:line="276" w:lineRule="auto"/>
        <w:rPr>
          <w:rFonts w:ascii="Candara" w:hAnsi="Candara" w:cs="Arial"/>
          <w:b/>
          <w:sz w:val="22"/>
          <w:szCs w:val="22"/>
          <w:lang w:val="es-ES_tradnl"/>
        </w:rPr>
      </w:pPr>
    </w:p>
    <w:p w:rsidR="003B5A56" w:rsidRPr="00DF2F0D" w:rsidRDefault="003B5A56" w:rsidP="003B5A56">
      <w:pPr>
        <w:spacing w:line="276" w:lineRule="auto"/>
        <w:rPr>
          <w:rFonts w:ascii="Candara" w:hAnsi="Candara" w:cs="Arial"/>
          <w:b/>
          <w:sz w:val="22"/>
          <w:szCs w:val="22"/>
          <w:lang w:val="es-ES_tradnl"/>
        </w:rPr>
      </w:pPr>
      <w:r w:rsidRPr="00DF2F0D">
        <w:rPr>
          <w:rFonts w:ascii="Candara" w:hAnsi="Candara" w:cs="Arial"/>
          <w:b/>
          <w:sz w:val="22"/>
          <w:szCs w:val="22"/>
          <w:lang w:val="es-ES_tradnl"/>
        </w:rPr>
        <w:t xml:space="preserve">Ejercicio presupuestal del </w:t>
      </w:r>
      <w:r w:rsidR="006B4899" w:rsidRPr="00DF2F0D">
        <w:rPr>
          <w:rFonts w:ascii="Candara" w:hAnsi="Candara" w:cs="Arial"/>
          <w:b/>
          <w:sz w:val="22"/>
          <w:szCs w:val="22"/>
          <w:lang w:val="es-ES_tradnl"/>
        </w:rPr>
        <w:t>periodo enero–</w:t>
      </w:r>
      <w:r w:rsidR="00B54B9A" w:rsidRPr="00DF2F0D">
        <w:rPr>
          <w:rFonts w:ascii="Candara" w:hAnsi="Candara" w:cs="Arial"/>
          <w:b/>
          <w:sz w:val="22"/>
          <w:szCs w:val="22"/>
          <w:lang w:val="es-ES_tradnl"/>
        </w:rPr>
        <w:t>junio</w:t>
      </w:r>
      <w:r w:rsidR="006B4899" w:rsidRPr="00DF2F0D">
        <w:rPr>
          <w:rFonts w:ascii="Candara" w:hAnsi="Candara" w:cs="Arial"/>
          <w:b/>
          <w:sz w:val="22"/>
          <w:szCs w:val="22"/>
          <w:lang w:val="es-ES_tradnl"/>
        </w:rPr>
        <w:t xml:space="preserve"> 201</w:t>
      </w:r>
      <w:r w:rsidR="00615A54" w:rsidRPr="00DF2F0D">
        <w:rPr>
          <w:rFonts w:ascii="Candara" w:hAnsi="Candara" w:cs="Arial"/>
          <w:b/>
          <w:sz w:val="22"/>
          <w:szCs w:val="22"/>
          <w:lang w:val="es-ES_tradnl"/>
        </w:rPr>
        <w:t>8</w:t>
      </w:r>
      <w:r w:rsidR="006B4899" w:rsidRPr="00DF2F0D">
        <w:rPr>
          <w:rFonts w:ascii="Candara" w:hAnsi="Candara" w:cs="Arial"/>
          <w:b/>
          <w:sz w:val="22"/>
          <w:szCs w:val="22"/>
          <w:lang w:val="es-ES_tradnl"/>
        </w:rPr>
        <w:t>.</w:t>
      </w:r>
    </w:p>
    <w:p w:rsidR="003B5A56" w:rsidRPr="00DF2F0D" w:rsidRDefault="003B5A56" w:rsidP="003B5A56">
      <w:pPr>
        <w:spacing w:line="276" w:lineRule="auto"/>
        <w:rPr>
          <w:rFonts w:ascii="Candara" w:hAnsi="Candara" w:cs="Arial"/>
          <w:sz w:val="22"/>
          <w:szCs w:val="22"/>
          <w:lang w:val="es-ES_tradnl"/>
        </w:rPr>
      </w:pPr>
    </w:p>
    <w:p w:rsidR="003B5A56" w:rsidRPr="00DF2F0D" w:rsidRDefault="003B5A56" w:rsidP="003B5A56">
      <w:pPr>
        <w:spacing w:line="276" w:lineRule="auto"/>
        <w:rPr>
          <w:rFonts w:ascii="Candara" w:hAnsi="Candara"/>
          <w:sz w:val="22"/>
          <w:szCs w:val="22"/>
          <w:lang w:val="es-ES_tradnl"/>
        </w:rPr>
      </w:pPr>
      <w:r w:rsidRPr="00DF2F0D">
        <w:rPr>
          <w:rFonts w:ascii="Candara" w:hAnsi="Candara" w:cs="Arial"/>
          <w:sz w:val="22"/>
          <w:szCs w:val="22"/>
          <w:lang w:val="es-ES_tradnl"/>
        </w:rPr>
        <w:t xml:space="preserve">El presupuesto total erogado en gasto corriente durante el </w:t>
      </w:r>
      <w:r w:rsidR="003E67CF" w:rsidRPr="00DF2F0D">
        <w:rPr>
          <w:rFonts w:ascii="Candara" w:hAnsi="Candara" w:cs="Arial"/>
          <w:sz w:val="22"/>
          <w:szCs w:val="22"/>
          <w:lang w:val="es-ES_tradnl"/>
        </w:rPr>
        <w:t xml:space="preserve">periodo </w:t>
      </w:r>
      <w:r w:rsidRPr="00DF2F0D">
        <w:rPr>
          <w:rFonts w:ascii="Candara" w:hAnsi="Candara" w:cs="Arial"/>
          <w:sz w:val="22"/>
          <w:szCs w:val="22"/>
          <w:lang w:val="es-ES_tradnl"/>
        </w:rPr>
        <w:t xml:space="preserve">ascendió a </w:t>
      </w:r>
      <w:r w:rsidR="006C5E48" w:rsidRPr="00DF2F0D">
        <w:rPr>
          <w:rFonts w:ascii="Candara" w:hAnsi="Candara" w:cs="Arial"/>
          <w:sz w:val="22"/>
          <w:szCs w:val="22"/>
          <w:lang w:val="es-ES_tradnl"/>
        </w:rPr>
        <w:t>175,163.4</w:t>
      </w:r>
      <w:r w:rsidRPr="00DF2F0D">
        <w:rPr>
          <w:rFonts w:ascii="Candara" w:hAnsi="Candara" w:cs="Arial"/>
          <w:sz w:val="22"/>
          <w:szCs w:val="22"/>
          <w:lang w:val="es-ES_tradnl"/>
        </w:rPr>
        <w:t xml:space="preserve"> miles de pesos (incluye el devengado no pagado), lo que representó 9</w:t>
      </w:r>
      <w:r w:rsidR="0074334D" w:rsidRPr="00DF2F0D">
        <w:rPr>
          <w:rFonts w:ascii="Candara" w:hAnsi="Candara" w:cs="Arial"/>
          <w:sz w:val="22"/>
          <w:szCs w:val="22"/>
          <w:lang w:val="es-ES_tradnl"/>
        </w:rPr>
        <w:t>4.99</w:t>
      </w:r>
      <w:r w:rsidR="006C5E48" w:rsidRPr="00DF2F0D">
        <w:rPr>
          <w:rFonts w:ascii="Candara" w:hAnsi="Candara" w:cs="Arial"/>
          <w:sz w:val="22"/>
          <w:szCs w:val="22"/>
          <w:lang w:val="es-ES_tradnl"/>
        </w:rPr>
        <w:t>%</w:t>
      </w:r>
      <w:r w:rsidRPr="00DF2F0D">
        <w:rPr>
          <w:rFonts w:ascii="Candara" w:hAnsi="Candara" w:cs="Arial"/>
          <w:sz w:val="22"/>
          <w:szCs w:val="22"/>
          <w:lang w:val="es-ES_tradnl"/>
        </w:rPr>
        <w:t xml:space="preserve"> del presupuesto programado al mismo periodo (Tabla 2). </w:t>
      </w:r>
      <w:r w:rsidR="009F0537" w:rsidRPr="00DF2F0D">
        <w:rPr>
          <w:rFonts w:ascii="Candara" w:hAnsi="Candara" w:cs="Arial"/>
          <w:sz w:val="22"/>
          <w:szCs w:val="22"/>
          <w:lang w:val="es-ES_tradnl"/>
        </w:rPr>
        <w:t xml:space="preserve">El presupuesto programado de recursos fiscales para el primer </w:t>
      </w:r>
      <w:r w:rsidR="004C653F" w:rsidRPr="00DF2F0D">
        <w:rPr>
          <w:rFonts w:ascii="Candara" w:hAnsi="Candara" w:cs="Arial"/>
          <w:sz w:val="22"/>
          <w:szCs w:val="22"/>
          <w:lang w:val="es-ES_tradnl"/>
        </w:rPr>
        <w:t xml:space="preserve">semestre </w:t>
      </w:r>
      <w:r w:rsidR="009F0537" w:rsidRPr="00DF2F0D">
        <w:rPr>
          <w:rFonts w:ascii="Candara" w:hAnsi="Candara" w:cs="Arial"/>
          <w:sz w:val="22"/>
          <w:szCs w:val="22"/>
          <w:lang w:val="es-ES_tradnl"/>
        </w:rPr>
        <w:t>fue ejercido en un 9</w:t>
      </w:r>
      <w:r w:rsidR="006C5E48" w:rsidRPr="00DF2F0D">
        <w:rPr>
          <w:rFonts w:ascii="Candara" w:hAnsi="Candara" w:cs="Arial"/>
          <w:sz w:val="22"/>
          <w:szCs w:val="22"/>
          <w:lang w:val="es-ES_tradnl"/>
        </w:rPr>
        <w:t>7.84</w:t>
      </w:r>
      <w:r w:rsidR="009F0537" w:rsidRPr="00DF2F0D">
        <w:rPr>
          <w:rFonts w:ascii="Candara" w:hAnsi="Candara" w:cs="Arial"/>
          <w:sz w:val="22"/>
          <w:szCs w:val="22"/>
          <w:lang w:val="es-ES_tradnl"/>
        </w:rPr>
        <w:t xml:space="preserve">% y en lo correspondiente a recursos propios se ejerció un </w:t>
      </w:r>
      <w:r w:rsidR="0074334D" w:rsidRPr="00DF2F0D">
        <w:rPr>
          <w:rFonts w:ascii="Candara" w:hAnsi="Candara" w:cs="Arial"/>
          <w:sz w:val="22"/>
          <w:szCs w:val="22"/>
          <w:lang w:val="es-ES_tradnl"/>
        </w:rPr>
        <w:t>72.15</w:t>
      </w:r>
      <w:r w:rsidR="009F0537" w:rsidRPr="00DF2F0D">
        <w:rPr>
          <w:rFonts w:ascii="Candara" w:hAnsi="Candara" w:cs="Arial"/>
          <w:sz w:val="22"/>
          <w:szCs w:val="22"/>
          <w:lang w:val="es-ES_tradnl"/>
        </w:rPr>
        <w:t xml:space="preserve">% respecto a lo programado en el periodo (Tabla 3). En consecuencia, se presentó un </w:t>
      </w:r>
      <w:r w:rsidR="009F0537" w:rsidRPr="00DF2F0D">
        <w:rPr>
          <w:rFonts w:ascii="Candara" w:hAnsi="Candara"/>
          <w:sz w:val="22"/>
          <w:szCs w:val="22"/>
          <w:lang w:val="es-ES_tradnl"/>
        </w:rPr>
        <w:t xml:space="preserve">subejercicio presupuestal de </w:t>
      </w:r>
      <w:r w:rsidR="006C5E48" w:rsidRPr="00DF2F0D">
        <w:rPr>
          <w:rFonts w:ascii="Candara" w:hAnsi="Candara"/>
          <w:sz w:val="22"/>
          <w:szCs w:val="22"/>
          <w:lang w:val="es-ES_tradnl"/>
        </w:rPr>
        <w:t>2</w:t>
      </w:r>
      <w:r w:rsidR="0074334D" w:rsidRPr="00DF2F0D">
        <w:rPr>
          <w:rFonts w:ascii="Candara" w:hAnsi="Candara"/>
          <w:sz w:val="22"/>
          <w:szCs w:val="22"/>
          <w:lang w:val="es-ES_tradnl"/>
        </w:rPr>
        <w:t>7</w:t>
      </w:r>
      <w:r w:rsidR="006C5E48" w:rsidRPr="00DF2F0D">
        <w:rPr>
          <w:rFonts w:ascii="Candara" w:hAnsi="Candara"/>
          <w:sz w:val="22"/>
          <w:szCs w:val="22"/>
          <w:lang w:val="es-ES_tradnl"/>
        </w:rPr>
        <w:t>.</w:t>
      </w:r>
      <w:r w:rsidR="0074334D" w:rsidRPr="00DF2F0D">
        <w:rPr>
          <w:rFonts w:ascii="Candara" w:hAnsi="Candara"/>
          <w:sz w:val="22"/>
          <w:szCs w:val="22"/>
          <w:lang w:val="es-ES_tradnl"/>
        </w:rPr>
        <w:t>85</w:t>
      </w:r>
      <w:r w:rsidR="009F0537" w:rsidRPr="00DF2F0D">
        <w:rPr>
          <w:rFonts w:ascii="Candara" w:hAnsi="Candara"/>
          <w:b/>
          <w:sz w:val="22"/>
          <w:szCs w:val="22"/>
          <w:lang w:val="es-ES_tradnl"/>
        </w:rPr>
        <w:t>%,</w:t>
      </w:r>
      <w:r w:rsidR="009F0537" w:rsidRPr="00DF2F0D">
        <w:rPr>
          <w:rFonts w:ascii="Candara" w:hAnsi="Candara"/>
          <w:sz w:val="22"/>
          <w:szCs w:val="22"/>
          <w:lang w:val="es-ES_tradnl"/>
        </w:rPr>
        <w:t xml:space="preserve"> respecto al aprobado en el periodo. En la tabla 3 denominada “ejercicio del presupuesto de egresos por capítulo de gasto” se puede apreciar el cumplimiento del ejercicio del gasto en el periodo a nivel capítulos y fuente de financiamiento.</w:t>
      </w:r>
      <w:r w:rsidR="00BA16F6" w:rsidRPr="00DF2F0D">
        <w:rPr>
          <w:rFonts w:ascii="Candara" w:hAnsi="Candara"/>
          <w:sz w:val="22"/>
          <w:szCs w:val="22"/>
          <w:lang w:val="es-ES_tradnl"/>
        </w:rPr>
        <w:t xml:space="preserve"> </w:t>
      </w:r>
    </w:p>
    <w:p w:rsidR="0093742C" w:rsidRPr="00DF2F0D" w:rsidRDefault="0093742C" w:rsidP="003B5A56">
      <w:pPr>
        <w:spacing w:line="276" w:lineRule="auto"/>
        <w:rPr>
          <w:rFonts w:ascii="Candara" w:hAnsi="Candara"/>
          <w:sz w:val="22"/>
          <w:szCs w:val="22"/>
          <w:lang w:val="es-ES_tradnl"/>
        </w:rPr>
      </w:pPr>
    </w:p>
    <w:p w:rsidR="003F365E" w:rsidRPr="00DF2F0D" w:rsidRDefault="0093742C" w:rsidP="0093742C">
      <w:pPr>
        <w:spacing w:line="276" w:lineRule="auto"/>
        <w:rPr>
          <w:rFonts w:ascii="Candara" w:hAnsi="Candara"/>
          <w:sz w:val="22"/>
          <w:szCs w:val="22"/>
          <w:lang w:val="es-ES_tradnl"/>
        </w:rPr>
      </w:pPr>
      <w:r w:rsidRPr="00DF2F0D">
        <w:rPr>
          <w:rFonts w:ascii="Candara" w:hAnsi="Candara"/>
          <w:sz w:val="22"/>
          <w:szCs w:val="22"/>
          <w:lang w:val="es-ES_tradnl"/>
        </w:rPr>
        <w:lastRenderedPageBreak/>
        <w:t xml:space="preserve">En lo que respecta a los recursos fiscales en el primer </w:t>
      </w:r>
      <w:r w:rsidR="009103AD" w:rsidRPr="00DF2F0D">
        <w:rPr>
          <w:rFonts w:ascii="Candara" w:hAnsi="Candara"/>
          <w:sz w:val="22"/>
          <w:szCs w:val="22"/>
          <w:lang w:val="es-ES_tradnl"/>
        </w:rPr>
        <w:t xml:space="preserve">semestre </w:t>
      </w:r>
      <w:r w:rsidRPr="00DF2F0D">
        <w:rPr>
          <w:rFonts w:ascii="Candara" w:hAnsi="Candara"/>
          <w:sz w:val="22"/>
          <w:szCs w:val="22"/>
          <w:lang w:val="es-ES_tradnl"/>
        </w:rPr>
        <w:t xml:space="preserve">se aprecia un ejercicio del gasto </w:t>
      </w:r>
      <w:r w:rsidR="006976BE" w:rsidRPr="00DF2F0D">
        <w:rPr>
          <w:rFonts w:ascii="Candara" w:hAnsi="Candara"/>
          <w:sz w:val="22"/>
          <w:szCs w:val="22"/>
          <w:lang w:val="es-ES_tradnl"/>
        </w:rPr>
        <w:t>por capí</w:t>
      </w:r>
      <w:r w:rsidR="003F365E" w:rsidRPr="00DF2F0D">
        <w:rPr>
          <w:rFonts w:ascii="Candara" w:hAnsi="Candara"/>
          <w:sz w:val="22"/>
          <w:szCs w:val="22"/>
          <w:lang w:val="es-ES_tradnl"/>
        </w:rPr>
        <w:t xml:space="preserve">tulo </w:t>
      </w:r>
      <w:r w:rsidRPr="00DF2F0D">
        <w:rPr>
          <w:rFonts w:ascii="Candara" w:hAnsi="Candara"/>
          <w:sz w:val="22"/>
          <w:szCs w:val="22"/>
          <w:lang w:val="es-ES_tradnl"/>
        </w:rPr>
        <w:t xml:space="preserve">bastante apegado a lo programado. Sin embargo, en lo que corresponde a los recursos propios, se ve de manera general un ejercicio del </w:t>
      </w:r>
      <w:r w:rsidR="0074334D" w:rsidRPr="00DF2F0D">
        <w:rPr>
          <w:rFonts w:ascii="Candara" w:hAnsi="Candara"/>
          <w:sz w:val="22"/>
          <w:szCs w:val="22"/>
          <w:lang w:val="es-ES_tradnl"/>
        </w:rPr>
        <w:t>72.15</w:t>
      </w:r>
      <w:r w:rsidRPr="00DF2F0D">
        <w:rPr>
          <w:rFonts w:ascii="Candara" w:hAnsi="Candara"/>
          <w:sz w:val="22"/>
          <w:szCs w:val="22"/>
          <w:lang w:val="es-ES_tradnl"/>
        </w:rPr>
        <w:t>%</w:t>
      </w:r>
      <w:r w:rsidR="00254522" w:rsidRPr="00DF2F0D">
        <w:rPr>
          <w:rFonts w:ascii="Candara" w:hAnsi="Candara"/>
          <w:sz w:val="22"/>
          <w:szCs w:val="22"/>
          <w:lang w:val="es-ES_tradnl"/>
        </w:rPr>
        <w:t xml:space="preserve"> (tabla 3)</w:t>
      </w:r>
      <w:r w:rsidR="003F365E" w:rsidRPr="00DF2F0D">
        <w:rPr>
          <w:rFonts w:ascii="Candara" w:hAnsi="Candara"/>
          <w:sz w:val="22"/>
          <w:szCs w:val="22"/>
          <w:lang w:val="es-ES_tradnl"/>
        </w:rPr>
        <w:t xml:space="preserve">, observándose en el capítulo 1000 servicios personales un ejercicio del gasto programado de solo </w:t>
      </w:r>
      <w:r w:rsidR="00765A8F" w:rsidRPr="00DF2F0D">
        <w:rPr>
          <w:rFonts w:ascii="Candara" w:hAnsi="Candara"/>
          <w:sz w:val="22"/>
          <w:szCs w:val="22"/>
          <w:lang w:val="es-ES_tradnl"/>
        </w:rPr>
        <w:t>3.17</w:t>
      </w:r>
      <w:r w:rsidR="003F365E" w:rsidRPr="00DF2F0D">
        <w:rPr>
          <w:rFonts w:ascii="Candara" w:hAnsi="Candara"/>
          <w:sz w:val="22"/>
          <w:szCs w:val="22"/>
          <w:lang w:val="es-ES_tradnl"/>
        </w:rPr>
        <w:t xml:space="preserve">%, esto se explica porque en el presupuesto original se consideró un estimado a captar </w:t>
      </w:r>
      <w:r w:rsidR="00180F39" w:rsidRPr="00DF2F0D">
        <w:rPr>
          <w:rFonts w:ascii="Candara" w:hAnsi="Candara"/>
          <w:sz w:val="22"/>
          <w:szCs w:val="22"/>
          <w:lang w:val="es-ES_tradnl"/>
        </w:rPr>
        <w:t>más</w:t>
      </w:r>
      <w:r w:rsidR="003F365E" w:rsidRPr="00DF2F0D">
        <w:rPr>
          <w:rFonts w:ascii="Candara" w:hAnsi="Candara"/>
          <w:sz w:val="22"/>
          <w:szCs w:val="22"/>
          <w:lang w:val="es-ES_tradnl"/>
        </w:rPr>
        <w:t xml:space="preserve"> alto de lo que realmente se necesita para la ejecución de estos proyectos; este importe programado se trató de disminuir desde el proyecto de presupuesto, situación qu</w:t>
      </w:r>
      <w:r w:rsidR="00B63384" w:rsidRPr="00DF2F0D">
        <w:rPr>
          <w:rFonts w:ascii="Candara" w:hAnsi="Candara"/>
          <w:sz w:val="22"/>
          <w:szCs w:val="22"/>
          <w:lang w:val="es-ES_tradnl"/>
        </w:rPr>
        <w:t xml:space="preserve">e fue rechazada por tratarse del capítulo 1000 </w:t>
      </w:r>
      <w:r w:rsidR="003F365E" w:rsidRPr="00DF2F0D">
        <w:rPr>
          <w:rFonts w:ascii="Candara" w:hAnsi="Candara"/>
          <w:sz w:val="22"/>
          <w:szCs w:val="22"/>
          <w:lang w:val="es-ES_tradnl"/>
        </w:rPr>
        <w:t>servicios personales.</w:t>
      </w:r>
    </w:p>
    <w:p w:rsidR="002C02C5" w:rsidRPr="00DF2F0D" w:rsidRDefault="002C02C5" w:rsidP="0093742C">
      <w:pPr>
        <w:spacing w:line="276" w:lineRule="auto"/>
        <w:rPr>
          <w:rFonts w:ascii="Candara" w:hAnsi="Candara"/>
          <w:sz w:val="22"/>
          <w:szCs w:val="22"/>
          <w:lang w:val="es-ES_tradnl"/>
        </w:rPr>
      </w:pPr>
      <w:r w:rsidRPr="00DF2F0D">
        <w:rPr>
          <w:rFonts w:ascii="Candara" w:hAnsi="Candara"/>
          <w:sz w:val="22"/>
          <w:szCs w:val="22"/>
          <w:lang w:val="es-ES_tradnl"/>
        </w:rPr>
        <w:t xml:space="preserve">En lo que respecta al capítulo 2000 materiales y suministros </w:t>
      </w:r>
      <w:r w:rsidR="00EF3A0C" w:rsidRPr="00DF2F0D">
        <w:rPr>
          <w:rFonts w:ascii="Candara" w:hAnsi="Candara"/>
          <w:sz w:val="22"/>
          <w:szCs w:val="22"/>
          <w:lang w:val="es-ES_tradnl"/>
        </w:rPr>
        <w:t xml:space="preserve">presentó </w:t>
      </w:r>
      <w:r w:rsidRPr="00DF2F0D">
        <w:rPr>
          <w:rFonts w:ascii="Candara" w:hAnsi="Candara"/>
          <w:sz w:val="22"/>
          <w:szCs w:val="22"/>
          <w:lang w:val="es-ES_tradnl"/>
        </w:rPr>
        <w:t>un ejercicio del gasto programado de 89.21%</w:t>
      </w:r>
      <w:r w:rsidR="00E81AC0" w:rsidRPr="00DF2F0D">
        <w:rPr>
          <w:rFonts w:ascii="Candara" w:hAnsi="Candara"/>
          <w:sz w:val="22"/>
          <w:szCs w:val="22"/>
          <w:lang w:val="es-ES_tradnl"/>
        </w:rPr>
        <w:t>, originado porque</w:t>
      </w:r>
      <w:r w:rsidR="003A1D26" w:rsidRPr="00DF2F0D">
        <w:rPr>
          <w:rFonts w:ascii="Candara" w:hAnsi="Candara"/>
          <w:sz w:val="22"/>
          <w:szCs w:val="22"/>
          <w:lang w:val="es-ES_tradnl"/>
        </w:rPr>
        <w:t xml:space="preserve"> al cierre del periodo </w:t>
      </w:r>
      <w:r w:rsidR="00EF3A0C" w:rsidRPr="00DF2F0D">
        <w:rPr>
          <w:rFonts w:ascii="Candara" w:hAnsi="Candara"/>
          <w:sz w:val="22"/>
          <w:szCs w:val="22"/>
          <w:lang w:val="es-ES_tradnl"/>
        </w:rPr>
        <w:t>se tenía gastos en proceso de comprobación</w:t>
      </w:r>
      <w:r w:rsidR="00E81AC0" w:rsidRPr="00DF2F0D">
        <w:rPr>
          <w:rFonts w:ascii="Candara" w:hAnsi="Candara"/>
          <w:sz w:val="22"/>
          <w:szCs w:val="22"/>
          <w:lang w:val="es-ES_tradnl"/>
        </w:rPr>
        <w:t>.</w:t>
      </w:r>
    </w:p>
    <w:p w:rsidR="0074334D" w:rsidRPr="00DF2F0D" w:rsidRDefault="0074334D" w:rsidP="0093742C">
      <w:pPr>
        <w:spacing w:line="276" w:lineRule="auto"/>
        <w:rPr>
          <w:rFonts w:ascii="Candara" w:hAnsi="Candara"/>
          <w:sz w:val="22"/>
          <w:szCs w:val="22"/>
          <w:lang w:val="es-ES_tradnl"/>
        </w:rPr>
      </w:pPr>
      <w:r w:rsidRPr="00DF2F0D">
        <w:rPr>
          <w:rFonts w:ascii="Candara" w:hAnsi="Candara"/>
          <w:sz w:val="22"/>
          <w:szCs w:val="22"/>
          <w:lang w:val="es-ES_tradnl"/>
        </w:rPr>
        <w:t xml:space="preserve">En cuanto al capítulo 3000 servicios generales </w:t>
      </w:r>
      <w:r w:rsidR="00F02A6D" w:rsidRPr="00DF2F0D">
        <w:rPr>
          <w:rFonts w:ascii="Candara" w:hAnsi="Candara"/>
          <w:sz w:val="22"/>
          <w:szCs w:val="22"/>
          <w:lang w:val="es-ES_tradnl"/>
        </w:rPr>
        <w:t xml:space="preserve">se presentó un </w:t>
      </w:r>
      <w:r w:rsidRPr="00DF2F0D">
        <w:rPr>
          <w:rFonts w:ascii="Candara" w:hAnsi="Candara"/>
          <w:sz w:val="22"/>
          <w:szCs w:val="22"/>
          <w:lang w:val="es-ES_tradnl"/>
        </w:rPr>
        <w:t xml:space="preserve">ejerció </w:t>
      </w:r>
      <w:r w:rsidR="00F02A6D" w:rsidRPr="00DF2F0D">
        <w:rPr>
          <w:rFonts w:ascii="Candara" w:hAnsi="Candara"/>
          <w:sz w:val="22"/>
          <w:szCs w:val="22"/>
          <w:lang w:val="es-ES_tradnl"/>
        </w:rPr>
        <w:t>del gasto programado de</w:t>
      </w:r>
      <w:r w:rsidRPr="00DF2F0D">
        <w:rPr>
          <w:rFonts w:ascii="Candara" w:hAnsi="Candara"/>
          <w:sz w:val="22"/>
          <w:szCs w:val="22"/>
          <w:lang w:val="es-ES_tradnl"/>
        </w:rPr>
        <w:t xml:space="preserve"> 92.51%</w:t>
      </w:r>
      <w:r w:rsidR="00F02A6D" w:rsidRPr="00DF2F0D">
        <w:rPr>
          <w:rFonts w:ascii="Candara" w:hAnsi="Candara"/>
          <w:sz w:val="22"/>
          <w:szCs w:val="22"/>
          <w:lang w:val="es-ES_tradnl"/>
        </w:rPr>
        <w:t xml:space="preserve">, </w:t>
      </w:r>
      <w:r w:rsidR="007869CD" w:rsidRPr="00DF2F0D">
        <w:rPr>
          <w:rFonts w:ascii="Candara" w:hAnsi="Candara"/>
          <w:sz w:val="22"/>
          <w:szCs w:val="22"/>
          <w:lang w:val="es-ES_tradnl"/>
        </w:rPr>
        <w:t xml:space="preserve">debido principalmente </w:t>
      </w:r>
      <w:r w:rsidR="000B1000" w:rsidRPr="00DF2F0D">
        <w:rPr>
          <w:rFonts w:ascii="Candara" w:hAnsi="Candara"/>
          <w:sz w:val="22"/>
          <w:szCs w:val="22"/>
          <w:lang w:val="es-ES_tradnl"/>
        </w:rPr>
        <w:t>porque al cierre del periodo</w:t>
      </w:r>
      <w:r w:rsidR="00F02A6D" w:rsidRPr="00DF2F0D">
        <w:rPr>
          <w:rFonts w:ascii="Candara" w:hAnsi="Candara"/>
          <w:sz w:val="22"/>
          <w:szCs w:val="22"/>
          <w:lang w:val="es-ES_tradnl"/>
        </w:rPr>
        <w:t xml:space="preserve"> se contaba con gastos en proceso de ejecución del personal</w:t>
      </w:r>
      <w:r w:rsidR="00E81602" w:rsidRPr="00DF2F0D">
        <w:rPr>
          <w:rFonts w:ascii="Candara" w:hAnsi="Candara"/>
          <w:sz w:val="22"/>
          <w:szCs w:val="22"/>
          <w:lang w:val="es-ES_tradnl"/>
        </w:rPr>
        <w:t>,</w:t>
      </w:r>
      <w:r w:rsidR="00F02A6D" w:rsidRPr="00DF2F0D">
        <w:rPr>
          <w:rFonts w:ascii="Candara" w:hAnsi="Candara"/>
          <w:sz w:val="22"/>
          <w:szCs w:val="22"/>
          <w:lang w:val="es-ES_tradnl"/>
        </w:rPr>
        <w:t xml:space="preserve"> </w:t>
      </w:r>
      <w:r w:rsidR="00E81602" w:rsidRPr="00DF2F0D">
        <w:rPr>
          <w:rFonts w:ascii="Candara" w:hAnsi="Candara"/>
          <w:sz w:val="22"/>
          <w:szCs w:val="22"/>
          <w:lang w:val="es-ES_tradnl"/>
        </w:rPr>
        <w:t xml:space="preserve">en </w:t>
      </w:r>
      <w:r w:rsidR="00F02A6D" w:rsidRPr="00DF2F0D">
        <w:rPr>
          <w:rFonts w:ascii="Candara" w:hAnsi="Candara"/>
          <w:sz w:val="22"/>
          <w:szCs w:val="22"/>
          <w:lang w:val="es-ES_tradnl"/>
        </w:rPr>
        <w:t xml:space="preserve">viajes </w:t>
      </w:r>
      <w:r w:rsidR="00E81602" w:rsidRPr="00DF2F0D">
        <w:rPr>
          <w:rFonts w:ascii="Candara" w:hAnsi="Candara"/>
          <w:sz w:val="22"/>
          <w:szCs w:val="22"/>
          <w:lang w:val="es-ES_tradnl"/>
        </w:rPr>
        <w:t>para l</w:t>
      </w:r>
      <w:r w:rsidR="00F02A6D" w:rsidRPr="00DF2F0D">
        <w:rPr>
          <w:rFonts w:ascii="Candara" w:hAnsi="Candara"/>
          <w:sz w:val="22"/>
          <w:szCs w:val="22"/>
          <w:lang w:val="es-ES_tradnl"/>
        </w:rPr>
        <w:t xml:space="preserve">a realización de </w:t>
      </w:r>
      <w:r w:rsidR="00E81602" w:rsidRPr="00DF2F0D">
        <w:rPr>
          <w:rFonts w:ascii="Candara" w:hAnsi="Candara"/>
          <w:sz w:val="22"/>
          <w:szCs w:val="22"/>
          <w:lang w:val="es-ES_tradnl"/>
        </w:rPr>
        <w:t xml:space="preserve">actividades </w:t>
      </w:r>
      <w:r w:rsidR="00F02A6D" w:rsidRPr="00DF2F0D">
        <w:rPr>
          <w:rFonts w:ascii="Candara" w:hAnsi="Candara"/>
          <w:sz w:val="22"/>
          <w:szCs w:val="22"/>
          <w:lang w:val="es-ES_tradnl"/>
        </w:rPr>
        <w:t xml:space="preserve">de investigación y </w:t>
      </w:r>
      <w:r w:rsidR="00E81602" w:rsidRPr="00DF2F0D">
        <w:rPr>
          <w:rFonts w:ascii="Candara" w:hAnsi="Candara"/>
          <w:sz w:val="22"/>
          <w:szCs w:val="22"/>
          <w:lang w:val="es-ES_tradnl"/>
        </w:rPr>
        <w:t xml:space="preserve">gastos por </w:t>
      </w:r>
      <w:r w:rsidR="00394C7F" w:rsidRPr="00DF2F0D">
        <w:rPr>
          <w:rFonts w:ascii="Candara" w:hAnsi="Candara"/>
          <w:sz w:val="22"/>
          <w:szCs w:val="22"/>
          <w:lang w:val="es-ES_tradnl"/>
        </w:rPr>
        <w:t xml:space="preserve">trabajo de campo. </w:t>
      </w:r>
    </w:p>
    <w:p w:rsidR="00D54BA5" w:rsidRPr="00DF2F0D" w:rsidRDefault="00180F39" w:rsidP="0093742C">
      <w:pPr>
        <w:spacing w:line="276" w:lineRule="auto"/>
        <w:rPr>
          <w:rFonts w:ascii="Candara" w:hAnsi="Candara"/>
          <w:sz w:val="22"/>
          <w:szCs w:val="22"/>
          <w:lang w:val="es-ES_tradnl"/>
        </w:rPr>
      </w:pPr>
      <w:r w:rsidRPr="00DF2F0D">
        <w:rPr>
          <w:rFonts w:ascii="Candara" w:hAnsi="Candara"/>
          <w:sz w:val="22"/>
          <w:szCs w:val="22"/>
          <w:lang w:val="es-ES_tradnl"/>
        </w:rPr>
        <w:t xml:space="preserve">En lo referente al capítulo 4000 becas </w:t>
      </w:r>
      <w:r w:rsidR="00783DC5" w:rsidRPr="00DF2F0D">
        <w:rPr>
          <w:rFonts w:ascii="Candara" w:hAnsi="Candara"/>
          <w:sz w:val="22"/>
          <w:szCs w:val="22"/>
          <w:lang w:val="es-ES_tradnl"/>
        </w:rPr>
        <w:t>el</w:t>
      </w:r>
      <w:r w:rsidRPr="00DF2F0D">
        <w:rPr>
          <w:rFonts w:ascii="Candara" w:hAnsi="Candara"/>
          <w:sz w:val="22"/>
          <w:szCs w:val="22"/>
          <w:lang w:val="es-ES_tradnl"/>
        </w:rPr>
        <w:t xml:space="preserve"> ejercicio de gasto fue del </w:t>
      </w:r>
      <w:r w:rsidR="00765A8F" w:rsidRPr="00DF2F0D">
        <w:rPr>
          <w:rFonts w:ascii="Candara" w:hAnsi="Candara"/>
          <w:sz w:val="22"/>
          <w:szCs w:val="22"/>
          <w:lang w:val="es-ES_tradnl"/>
        </w:rPr>
        <w:t>59.51</w:t>
      </w:r>
      <w:r w:rsidRPr="00DF2F0D">
        <w:rPr>
          <w:rFonts w:ascii="Candara" w:hAnsi="Candara"/>
          <w:sz w:val="22"/>
          <w:szCs w:val="22"/>
          <w:lang w:val="es-ES_tradnl"/>
        </w:rPr>
        <w:t>%</w:t>
      </w:r>
      <w:r w:rsidR="00254522" w:rsidRPr="00DF2F0D">
        <w:rPr>
          <w:rFonts w:ascii="Candara" w:hAnsi="Candara"/>
          <w:sz w:val="22"/>
          <w:szCs w:val="22"/>
          <w:lang w:val="es-ES_tradnl"/>
        </w:rPr>
        <w:t xml:space="preserve">, debido a que </w:t>
      </w:r>
      <w:r w:rsidR="00765A8F" w:rsidRPr="00DF2F0D">
        <w:rPr>
          <w:rFonts w:ascii="Candara" w:hAnsi="Candara"/>
          <w:sz w:val="22"/>
          <w:szCs w:val="22"/>
          <w:lang w:val="es-ES_tradnl"/>
        </w:rPr>
        <w:t>se pag</w:t>
      </w:r>
      <w:r w:rsidR="00F02A6D" w:rsidRPr="00DF2F0D">
        <w:rPr>
          <w:rFonts w:ascii="Candara" w:hAnsi="Candara"/>
          <w:sz w:val="22"/>
          <w:szCs w:val="22"/>
          <w:lang w:val="es-ES_tradnl"/>
        </w:rPr>
        <w:t>ó</w:t>
      </w:r>
      <w:r w:rsidR="00765A8F" w:rsidRPr="00DF2F0D">
        <w:rPr>
          <w:rFonts w:ascii="Candara" w:hAnsi="Candara"/>
          <w:sz w:val="22"/>
          <w:szCs w:val="22"/>
          <w:lang w:val="es-ES_tradnl"/>
        </w:rPr>
        <w:t xml:space="preserve"> un </w:t>
      </w:r>
      <w:r w:rsidR="00F02A6D" w:rsidRPr="00DF2F0D">
        <w:rPr>
          <w:rFonts w:ascii="Candara" w:hAnsi="Candara"/>
          <w:sz w:val="22"/>
          <w:szCs w:val="22"/>
          <w:lang w:val="es-ES_tradnl"/>
        </w:rPr>
        <w:t xml:space="preserve">monto </w:t>
      </w:r>
      <w:r w:rsidR="00765A8F" w:rsidRPr="00DF2F0D">
        <w:rPr>
          <w:rFonts w:ascii="Candara" w:hAnsi="Candara"/>
          <w:sz w:val="22"/>
          <w:szCs w:val="22"/>
          <w:lang w:val="es-ES_tradnl"/>
        </w:rPr>
        <w:t>menor en apoyos a estudiantes en comparación con lo programado originalmente</w:t>
      </w:r>
      <w:r w:rsidR="00254522" w:rsidRPr="00DF2F0D">
        <w:rPr>
          <w:rFonts w:ascii="Candara" w:hAnsi="Candara"/>
          <w:sz w:val="22"/>
          <w:szCs w:val="22"/>
          <w:lang w:val="es-ES_tradnl"/>
        </w:rPr>
        <w:t>.</w:t>
      </w:r>
    </w:p>
    <w:p w:rsidR="00341A58" w:rsidRPr="00DF2F0D" w:rsidRDefault="00341A58" w:rsidP="0093742C">
      <w:pPr>
        <w:spacing w:line="276" w:lineRule="auto"/>
        <w:rPr>
          <w:rFonts w:ascii="Candara" w:hAnsi="Candara"/>
          <w:sz w:val="22"/>
          <w:szCs w:val="22"/>
          <w:lang w:val="es-ES_tradnl"/>
        </w:rPr>
      </w:pPr>
    </w:p>
    <w:p w:rsidR="00200162" w:rsidRPr="00DF2F0D" w:rsidRDefault="00783DC5" w:rsidP="0093742C">
      <w:pPr>
        <w:spacing w:line="276" w:lineRule="auto"/>
        <w:rPr>
          <w:rFonts w:ascii="Candara" w:hAnsi="Candara"/>
          <w:sz w:val="22"/>
          <w:szCs w:val="22"/>
          <w:lang w:val="es-ES_tradnl"/>
        </w:rPr>
      </w:pPr>
      <w:r w:rsidRPr="00DF2F0D">
        <w:rPr>
          <w:rFonts w:ascii="Candara" w:hAnsi="Candara"/>
          <w:sz w:val="22"/>
          <w:szCs w:val="22"/>
          <w:lang w:val="es-ES_tradnl"/>
        </w:rPr>
        <w:t xml:space="preserve">Para evitar variaciones presupuestales significativas en el ejercicio de los </w:t>
      </w:r>
      <w:r w:rsidR="00F40C6D" w:rsidRPr="00DF2F0D">
        <w:rPr>
          <w:rFonts w:ascii="Candara" w:hAnsi="Candara"/>
          <w:sz w:val="22"/>
          <w:szCs w:val="22"/>
          <w:lang w:val="es-ES_tradnl"/>
        </w:rPr>
        <w:t xml:space="preserve">recursos propios, </w:t>
      </w:r>
      <w:r w:rsidR="008B0754" w:rsidRPr="00DF2F0D">
        <w:rPr>
          <w:rFonts w:ascii="Candara" w:hAnsi="Candara"/>
          <w:sz w:val="22"/>
          <w:szCs w:val="22"/>
          <w:lang w:val="es-ES_tradnl"/>
        </w:rPr>
        <w:t xml:space="preserve">para </w:t>
      </w:r>
      <w:r w:rsidR="00D54BA5" w:rsidRPr="00DF2F0D">
        <w:rPr>
          <w:rFonts w:ascii="Candara" w:hAnsi="Candara"/>
          <w:sz w:val="22"/>
          <w:szCs w:val="22"/>
          <w:lang w:val="es-ES_tradnl"/>
        </w:rPr>
        <w:t>el segundo s</w:t>
      </w:r>
      <w:r w:rsidR="008B0754" w:rsidRPr="00DF2F0D">
        <w:rPr>
          <w:rFonts w:ascii="Candara" w:hAnsi="Candara"/>
          <w:sz w:val="22"/>
          <w:szCs w:val="22"/>
          <w:lang w:val="es-ES_tradnl"/>
        </w:rPr>
        <w:t xml:space="preserve">emestre del año se estima un mayor ejercicio de recursos </w:t>
      </w:r>
      <w:r w:rsidR="00200162" w:rsidRPr="00DF2F0D">
        <w:rPr>
          <w:rFonts w:ascii="Candara" w:hAnsi="Candara"/>
          <w:sz w:val="22"/>
          <w:szCs w:val="22"/>
          <w:lang w:val="es-ES_tradnl"/>
        </w:rPr>
        <w:t>de acuerdo al cronograma de actividades de cada uno de los proyectos</w:t>
      </w:r>
      <w:r w:rsidR="003C79CF" w:rsidRPr="00DF2F0D">
        <w:rPr>
          <w:rFonts w:ascii="Candara" w:hAnsi="Candara"/>
          <w:sz w:val="22"/>
          <w:szCs w:val="22"/>
          <w:lang w:val="es-ES_tradnl"/>
        </w:rPr>
        <w:t xml:space="preserve"> autorizados</w:t>
      </w:r>
      <w:r w:rsidR="00200162" w:rsidRPr="00DF2F0D">
        <w:rPr>
          <w:rFonts w:ascii="Candara" w:hAnsi="Candara"/>
          <w:sz w:val="22"/>
          <w:szCs w:val="22"/>
          <w:lang w:val="es-ES_tradnl"/>
        </w:rPr>
        <w:t>.</w:t>
      </w:r>
    </w:p>
    <w:p w:rsidR="00180F39" w:rsidRPr="00DF2F0D" w:rsidRDefault="00200162" w:rsidP="0093742C">
      <w:pPr>
        <w:spacing w:line="276" w:lineRule="auto"/>
        <w:rPr>
          <w:rFonts w:ascii="Candara" w:hAnsi="Candara"/>
          <w:sz w:val="22"/>
          <w:szCs w:val="22"/>
          <w:lang w:val="es-ES_tradnl"/>
        </w:rPr>
      </w:pPr>
      <w:r w:rsidRPr="00DF2F0D">
        <w:rPr>
          <w:rFonts w:ascii="Candara" w:hAnsi="Candara"/>
          <w:sz w:val="22"/>
          <w:szCs w:val="22"/>
          <w:lang w:val="es-ES_tradnl"/>
        </w:rPr>
        <w:t>En referencia a las disposiciones específicas para el cierre del ejercicio presupuestario de 2018</w:t>
      </w:r>
      <w:r w:rsidR="00F40C6D" w:rsidRPr="00DF2F0D">
        <w:rPr>
          <w:rFonts w:ascii="Candara" w:hAnsi="Candara"/>
          <w:sz w:val="22"/>
          <w:szCs w:val="22"/>
          <w:lang w:val="es-ES_tradnl"/>
        </w:rPr>
        <w:t xml:space="preserve"> emitidas por la Secretaría de Hacienda y Crédito Público</w:t>
      </w:r>
      <w:r w:rsidRPr="00DF2F0D">
        <w:rPr>
          <w:rFonts w:ascii="Candara" w:hAnsi="Candara"/>
          <w:sz w:val="22"/>
          <w:szCs w:val="22"/>
          <w:lang w:val="es-ES_tradnl"/>
        </w:rPr>
        <w:t xml:space="preserve">, </w:t>
      </w:r>
      <w:r w:rsidR="00A76B1E" w:rsidRPr="00DF2F0D">
        <w:rPr>
          <w:rFonts w:ascii="Candara" w:hAnsi="Candara"/>
          <w:sz w:val="22"/>
          <w:szCs w:val="22"/>
          <w:lang w:val="es-ES_tradnl"/>
        </w:rPr>
        <w:t xml:space="preserve">con la finalidad de evitar un impacto negativo en el desarrollo de las actividades de los proyectos de investigación </w:t>
      </w:r>
      <w:r w:rsidRPr="00DF2F0D">
        <w:rPr>
          <w:rFonts w:ascii="Candara" w:hAnsi="Candara"/>
          <w:sz w:val="22"/>
          <w:szCs w:val="22"/>
          <w:lang w:val="es-ES_tradnl"/>
        </w:rPr>
        <w:t>se solicitó ampliación de los plazos</w:t>
      </w:r>
      <w:r w:rsidR="003C79CF" w:rsidRPr="00DF2F0D">
        <w:rPr>
          <w:rFonts w:ascii="Candara" w:hAnsi="Candara"/>
          <w:sz w:val="22"/>
          <w:szCs w:val="22"/>
          <w:lang w:val="es-ES_tradnl"/>
        </w:rPr>
        <w:t xml:space="preserve"> </w:t>
      </w:r>
      <w:r w:rsidR="00A76B1E" w:rsidRPr="00DF2F0D">
        <w:rPr>
          <w:rFonts w:ascii="Candara" w:hAnsi="Candara"/>
          <w:sz w:val="22"/>
          <w:szCs w:val="22"/>
          <w:lang w:val="es-ES_tradnl"/>
        </w:rPr>
        <w:t xml:space="preserve">para </w:t>
      </w:r>
      <w:r w:rsidR="009431B3" w:rsidRPr="00DF2F0D">
        <w:rPr>
          <w:rFonts w:ascii="Candara" w:hAnsi="Candara"/>
          <w:sz w:val="22"/>
          <w:szCs w:val="22"/>
          <w:lang w:val="es-ES_tradnl"/>
        </w:rPr>
        <w:t xml:space="preserve">ejercer de manera eficiente los recursos propios y dar cumplimiento </w:t>
      </w:r>
      <w:r w:rsidR="00020290" w:rsidRPr="00DF2F0D">
        <w:rPr>
          <w:rFonts w:ascii="Candara" w:hAnsi="Candara"/>
          <w:sz w:val="22"/>
          <w:szCs w:val="22"/>
          <w:lang w:val="es-ES_tradnl"/>
        </w:rPr>
        <w:t xml:space="preserve">en tiempo y forma </w:t>
      </w:r>
      <w:r w:rsidR="009431B3" w:rsidRPr="00DF2F0D">
        <w:rPr>
          <w:rFonts w:ascii="Candara" w:hAnsi="Candara"/>
          <w:sz w:val="22"/>
          <w:szCs w:val="22"/>
          <w:lang w:val="es-ES_tradnl"/>
        </w:rPr>
        <w:t>con los compromisos establecidos co</w:t>
      </w:r>
      <w:r w:rsidR="00F40C6D" w:rsidRPr="00DF2F0D">
        <w:rPr>
          <w:rFonts w:ascii="Candara" w:hAnsi="Candara"/>
          <w:sz w:val="22"/>
          <w:szCs w:val="22"/>
          <w:lang w:val="es-ES_tradnl"/>
        </w:rPr>
        <w:t>n las fuentes de financiamiento</w:t>
      </w:r>
      <w:r w:rsidR="00020290" w:rsidRPr="00DF2F0D">
        <w:rPr>
          <w:rFonts w:ascii="Candara" w:hAnsi="Candara"/>
          <w:sz w:val="22"/>
          <w:szCs w:val="22"/>
          <w:lang w:val="es-ES_tradnl"/>
        </w:rPr>
        <w:t xml:space="preserve"> en el presente ejercicio</w:t>
      </w:r>
      <w:r w:rsidR="00F40C6D" w:rsidRPr="00DF2F0D">
        <w:rPr>
          <w:rFonts w:ascii="Candara" w:hAnsi="Candara"/>
          <w:sz w:val="22"/>
          <w:szCs w:val="22"/>
          <w:lang w:val="es-ES_tradnl"/>
        </w:rPr>
        <w:t>.</w:t>
      </w:r>
      <w:r w:rsidR="009431B3" w:rsidRPr="00DF2F0D">
        <w:rPr>
          <w:rFonts w:ascii="Candara" w:hAnsi="Candara"/>
          <w:sz w:val="22"/>
          <w:szCs w:val="22"/>
          <w:lang w:val="es-ES_tradnl"/>
        </w:rPr>
        <w:t xml:space="preserve"> </w:t>
      </w:r>
      <w:r w:rsidR="003C79CF" w:rsidRPr="00DF2F0D">
        <w:rPr>
          <w:rFonts w:ascii="Candara" w:hAnsi="Candara"/>
          <w:sz w:val="22"/>
          <w:szCs w:val="22"/>
          <w:lang w:val="es-ES_tradnl"/>
        </w:rPr>
        <w:t xml:space="preserve"> </w:t>
      </w:r>
      <w:r w:rsidR="00D54BA5" w:rsidRPr="00DF2F0D">
        <w:rPr>
          <w:rFonts w:ascii="Candara" w:hAnsi="Candara"/>
          <w:sz w:val="22"/>
          <w:szCs w:val="22"/>
          <w:lang w:val="es-ES_tradnl"/>
        </w:rPr>
        <w:t xml:space="preserve"> </w:t>
      </w:r>
      <w:r w:rsidR="00254522" w:rsidRPr="00DF2F0D">
        <w:rPr>
          <w:rFonts w:ascii="Candara" w:hAnsi="Candara"/>
          <w:sz w:val="22"/>
          <w:szCs w:val="22"/>
          <w:lang w:val="es-ES_tradnl"/>
        </w:rPr>
        <w:t xml:space="preserve"> </w:t>
      </w:r>
    </w:p>
    <w:p w:rsidR="00E81AC0" w:rsidRPr="00DF2F0D" w:rsidRDefault="00E81AC0" w:rsidP="00EC7B44">
      <w:pPr>
        <w:widowControl/>
        <w:spacing w:before="120" w:after="160" w:line="259" w:lineRule="auto"/>
        <w:rPr>
          <w:rFonts w:ascii="Candara" w:eastAsia="SimSun" w:hAnsi="Candara" w:cs="Arial"/>
          <w:b/>
          <w:sz w:val="24"/>
          <w:szCs w:val="22"/>
          <w:lang w:val="es-ES_tradnl"/>
        </w:rPr>
      </w:pPr>
    </w:p>
    <w:p w:rsidR="00EC7B44" w:rsidRPr="00DF2F0D" w:rsidRDefault="00EC7B44" w:rsidP="00EC7B44">
      <w:pPr>
        <w:widowControl/>
        <w:spacing w:before="120" w:after="160" w:line="259" w:lineRule="auto"/>
        <w:rPr>
          <w:rFonts w:ascii="Candara" w:eastAsia="SimSun" w:hAnsi="Candara" w:cs="Arial"/>
          <w:b/>
          <w:sz w:val="24"/>
          <w:szCs w:val="22"/>
          <w:lang w:val="es-ES_tradnl"/>
        </w:rPr>
      </w:pPr>
      <w:r w:rsidRPr="00DF2F0D">
        <w:rPr>
          <w:rFonts w:ascii="Candara" w:eastAsia="SimSun" w:hAnsi="Candara" w:cs="Arial"/>
          <w:b/>
          <w:sz w:val="24"/>
          <w:szCs w:val="22"/>
          <w:lang w:val="es-ES_tradnl"/>
        </w:rPr>
        <w:t>Análisis del ejercicio presupuestal por programa.</w:t>
      </w:r>
    </w:p>
    <w:p w:rsidR="00EC7B44" w:rsidRPr="00DF2F0D" w:rsidRDefault="00EC7B44" w:rsidP="00EC7B44">
      <w:pPr>
        <w:spacing w:line="276" w:lineRule="auto"/>
        <w:rPr>
          <w:rFonts w:ascii="Candara" w:hAnsi="Candara" w:cs="Arial"/>
          <w:sz w:val="22"/>
          <w:szCs w:val="22"/>
          <w:lang w:val="es-ES_tradnl"/>
        </w:rPr>
      </w:pPr>
      <w:r w:rsidRPr="00DF2F0D">
        <w:rPr>
          <w:rFonts w:ascii="Candara" w:hAnsi="Candara" w:cs="Arial"/>
          <w:sz w:val="22"/>
          <w:szCs w:val="22"/>
          <w:lang w:val="es-ES_tradnl"/>
        </w:rPr>
        <w:t>El presupuesto a la Institución fue autorizado en 3 programas presupuestarios, de los cuales destaca el siguiente:</w:t>
      </w:r>
    </w:p>
    <w:p w:rsidR="00EC7B44" w:rsidRPr="00DF2F0D" w:rsidRDefault="00EC7B44" w:rsidP="00EC7B44">
      <w:pPr>
        <w:spacing w:line="240" w:lineRule="auto"/>
        <w:ind w:firstLine="600"/>
        <w:rPr>
          <w:rFonts w:ascii="Candara" w:hAnsi="Candara" w:cs="Arial"/>
          <w:sz w:val="22"/>
          <w:szCs w:val="22"/>
          <w:lang w:val="es-ES_tradnl"/>
        </w:rPr>
      </w:pPr>
    </w:p>
    <w:p w:rsidR="0056488C" w:rsidRPr="00DF2F0D" w:rsidRDefault="00EC7B44" w:rsidP="00EC7B44">
      <w:pPr>
        <w:widowControl/>
        <w:spacing w:before="120" w:after="160" w:line="259" w:lineRule="auto"/>
        <w:rPr>
          <w:rFonts w:ascii="Candara" w:hAnsi="Candara" w:cs="Arial"/>
          <w:sz w:val="22"/>
          <w:szCs w:val="22"/>
          <w:lang w:val="es-ES_tradnl"/>
        </w:rPr>
      </w:pPr>
      <w:r w:rsidRPr="00DF2F0D">
        <w:rPr>
          <w:rFonts w:ascii="Candara" w:hAnsi="Candara" w:cs="Arial"/>
          <w:b/>
          <w:sz w:val="22"/>
          <w:szCs w:val="22"/>
          <w:lang w:val="es-ES_tradnl"/>
        </w:rPr>
        <w:t>Programa E003 “Investigación científica, desarrollo e innovación”</w:t>
      </w:r>
      <w:r w:rsidRPr="00DF2F0D">
        <w:rPr>
          <w:rFonts w:ascii="Candara" w:hAnsi="Candara" w:cs="Arial"/>
          <w:sz w:val="22"/>
          <w:szCs w:val="22"/>
          <w:lang w:val="es-ES_tradnl"/>
        </w:rPr>
        <w:t>, en este programa presupuestario se canaliza el 90.</w:t>
      </w:r>
      <w:r w:rsidR="003237B8" w:rsidRPr="00DF2F0D">
        <w:rPr>
          <w:rFonts w:ascii="Candara" w:hAnsi="Candara" w:cs="Arial"/>
          <w:sz w:val="22"/>
          <w:szCs w:val="22"/>
          <w:lang w:val="es-ES_tradnl"/>
        </w:rPr>
        <w:t>2</w:t>
      </w:r>
      <w:r w:rsidR="00F82A85" w:rsidRPr="00DF2F0D">
        <w:rPr>
          <w:rFonts w:ascii="Candara" w:hAnsi="Candara" w:cs="Arial"/>
          <w:sz w:val="22"/>
          <w:szCs w:val="22"/>
          <w:lang w:val="es-ES_tradnl"/>
        </w:rPr>
        <w:t>8</w:t>
      </w:r>
      <w:r w:rsidRPr="00DF2F0D">
        <w:rPr>
          <w:rFonts w:ascii="Candara" w:hAnsi="Candara" w:cs="Arial"/>
          <w:sz w:val="22"/>
          <w:szCs w:val="22"/>
          <w:lang w:val="es-ES_tradnl"/>
        </w:rPr>
        <w:t>% del presupuesto aprobado para ECOSUR en el presente ejercicio 201</w:t>
      </w:r>
      <w:r w:rsidR="00155490" w:rsidRPr="00DF2F0D">
        <w:rPr>
          <w:rFonts w:ascii="Candara" w:hAnsi="Candara" w:cs="Arial"/>
          <w:sz w:val="22"/>
          <w:szCs w:val="22"/>
          <w:lang w:val="es-ES_tradnl"/>
        </w:rPr>
        <w:t>8</w:t>
      </w:r>
      <w:r w:rsidRPr="00DF2F0D">
        <w:rPr>
          <w:rFonts w:ascii="Candara" w:hAnsi="Candara" w:cs="Arial"/>
          <w:sz w:val="22"/>
          <w:szCs w:val="22"/>
          <w:lang w:val="es-ES_tradnl"/>
        </w:rPr>
        <w:t xml:space="preserve">. </w:t>
      </w:r>
      <w:r w:rsidR="0056488C" w:rsidRPr="00DF2F0D">
        <w:rPr>
          <w:rFonts w:ascii="Candara" w:hAnsi="Candara" w:cs="Arial"/>
          <w:sz w:val="22"/>
          <w:szCs w:val="22"/>
          <w:lang w:val="es-ES_tradnl"/>
        </w:rPr>
        <w:t>Su objetivo es financiar las actividades sustantivas de la institución a través de proyectos de investigación que fortalezcan la investigación científica y tecnológica, y contribuyan a la solución de demandas regionales, así como a la formación de recursos humanos de alta calidad, a la excelencia de la planta académica y a la vinculación con organizaciones sociales. El ejercicio de este presupuesto contribuirá directamente al cumplimiento de los indicadores del Convenio de Administración por Resultados (CAR).</w:t>
      </w:r>
    </w:p>
    <w:p w:rsidR="0056488C" w:rsidRPr="00DF2F0D" w:rsidRDefault="00F31A9D" w:rsidP="00EC7B44">
      <w:pPr>
        <w:widowControl/>
        <w:spacing w:before="120" w:after="160" w:line="259" w:lineRule="auto"/>
        <w:rPr>
          <w:rFonts w:ascii="Candara" w:hAnsi="Candara" w:cs="Arial"/>
          <w:sz w:val="22"/>
          <w:szCs w:val="22"/>
          <w:lang w:val="es-ES_tradnl"/>
        </w:rPr>
      </w:pPr>
      <w:r w:rsidRPr="00DF2F0D">
        <w:rPr>
          <w:rFonts w:ascii="Candara" w:hAnsi="Candara" w:cs="Arial"/>
          <w:sz w:val="22"/>
          <w:szCs w:val="22"/>
          <w:lang w:val="es-ES_tradnl"/>
        </w:rPr>
        <w:t xml:space="preserve">Este programa refleja en el periodo un ejercicio de </w:t>
      </w:r>
      <w:r w:rsidR="00840760" w:rsidRPr="00DF2F0D">
        <w:rPr>
          <w:rFonts w:ascii="Candara" w:hAnsi="Candara" w:cs="Arial"/>
          <w:sz w:val="22"/>
          <w:szCs w:val="22"/>
          <w:lang w:val="es-ES_tradnl"/>
        </w:rPr>
        <w:t>9</w:t>
      </w:r>
      <w:r w:rsidR="00394C7F" w:rsidRPr="00DF2F0D">
        <w:rPr>
          <w:rFonts w:ascii="Candara" w:hAnsi="Candara" w:cs="Arial"/>
          <w:sz w:val="22"/>
          <w:szCs w:val="22"/>
          <w:lang w:val="es-ES_tradnl"/>
        </w:rPr>
        <w:t>4.46</w:t>
      </w:r>
      <w:r w:rsidRPr="00DF2F0D">
        <w:rPr>
          <w:rFonts w:ascii="Candara" w:hAnsi="Candara" w:cs="Arial"/>
          <w:sz w:val="22"/>
          <w:szCs w:val="22"/>
          <w:lang w:val="es-ES_tradnl"/>
        </w:rPr>
        <w:t>% del gasto programado</w:t>
      </w:r>
      <w:r w:rsidR="002D0E5B" w:rsidRPr="00DF2F0D">
        <w:rPr>
          <w:rFonts w:ascii="Candara" w:hAnsi="Candara" w:cs="Arial"/>
          <w:sz w:val="22"/>
          <w:szCs w:val="22"/>
          <w:lang w:val="es-ES_tradnl"/>
        </w:rPr>
        <w:t>,</w:t>
      </w:r>
      <w:r w:rsidRPr="00DF2F0D">
        <w:rPr>
          <w:rFonts w:ascii="Candara" w:hAnsi="Candara" w:cs="Arial"/>
          <w:sz w:val="22"/>
          <w:szCs w:val="22"/>
          <w:lang w:val="es-ES_tradnl"/>
        </w:rPr>
        <w:t xml:space="preserve"> </w:t>
      </w:r>
      <w:r w:rsidR="002D0E5B" w:rsidRPr="00DF2F0D">
        <w:rPr>
          <w:rFonts w:ascii="Candara" w:hAnsi="Candara" w:cs="Arial"/>
          <w:sz w:val="22"/>
          <w:szCs w:val="22"/>
          <w:lang w:val="es-ES_tradnl"/>
        </w:rPr>
        <w:t xml:space="preserve">lo cual se puede considerar aceptable </w:t>
      </w:r>
      <w:r w:rsidR="00C42631" w:rsidRPr="00DF2F0D">
        <w:rPr>
          <w:rFonts w:ascii="Candara" w:hAnsi="Candara" w:cs="Arial"/>
          <w:sz w:val="22"/>
          <w:szCs w:val="22"/>
          <w:lang w:val="es-ES_tradnl"/>
        </w:rPr>
        <w:t xml:space="preserve">en el primer semestre </w:t>
      </w:r>
      <w:r w:rsidR="002D0E5B" w:rsidRPr="00DF2F0D">
        <w:rPr>
          <w:rFonts w:ascii="Candara" w:hAnsi="Candara" w:cs="Arial"/>
          <w:sz w:val="22"/>
          <w:szCs w:val="22"/>
          <w:lang w:val="es-ES_tradnl"/>
        </w:rPr>
        <w:t>del ejercicio 201</w:t>
      </w:r>
      <w:r w:rsidR="00F82A85" w:rsidRPr="00DF2F0D">
        <w:rPr>
          <w:rFonts w:ascii="Candara" w:hAnsi="Candara" w:cs="Arial"/>
          <w:sz w:val="22"/>
          <w:szCs w:val="22"/>
          <w:lang w:val="es-ES_tradnl"/>
        </w:rPr>
        <w:t>8</w:t>
      </w:r>
      <w:r w:rsidR="002D0E5B" w:rsidRPr="00DF2F0D">
        <w:rPr>
          <w:rFonts w:ascii="Candara" w:hAnsi="Candara" w:cs="Arial"/>
          <w:sz w:val="22"/>
          <w:szCs w:val="22"/>
          <w:lang w:val="es-ES_tradnl"/>
        </w:rPr>
        <w:t>. (Tabla 3)</w:t>
      </w:r>
      <w:r w:rsidRPr="00DF2F0D">
        <w:rPr>
          <w:rFonts w:ascii="Candara" w:hAnsi="Candara" w:cs="Arial"/>
          <w:sz w:val="22"/>
          <w:szCs w:val="22"/>
          <w:lang w:val="es-ES_tradnl"/>
        </w:rPr>
        <w:t xml:space="preserve">. </w:t>
      </w:r>
    </w:p>
    <w:p w:rsidR="00341A58" w:rsidRPr="00DF2F0D" w:rsidRDefault="00341A58" w:rsidP="00667DF9">
      <w:pPr>
        <w:spacing w:line="240" w:lineRule="auto"/>
        <w:rPr>
          <w:rFonts w:ascii="Candara" w:hAnsi="Candara"/>
          <w:b/>
          <w:sz w:val="24"/>
          <w:szCs w:val="22"/>
          <w:lang w:val="es-ES_tradnl"/>
        </w:rPr>
      </w:pPr>
    </w:p>
    <w:p w:rsidR="00667DF9" w:rsidRPr="00DF2F0D" w:rsidRDefault="00667DF9" w:rsidP="00667DF9">
      <w:pPr>
        <w:spacing w:line="240" w:lineRule="auto"/>
        <w:rPr>
          <w:rFonts w:ascii="Candara" w:hAnsi="Candara"/>
          <w:b/>
          <w:sz w:val="24"/>
          <w:szCs w:val="22"/>
          <w:lang w:val="es-ES_tradnl"/>
        </w:rPr>
      </w:pPr>
      <w:r w:rsidRPr="00DF2F0D">
        <w:rPr>
          <w:rFonts w:ascii="Candara" w:hAnsi="Candara"/>
          <w:b/>
          <w:sz w:val="24"/>
          <w:szCs w:val="22"/>
          <w:lang w:val="es-ES_tradnl"/>
        </w:rPr>
        <w:t xml:space="preserve">Nota explicativa del ejercicio del gasto por Capítulo en el período enero – </w:t>
      </w:r>
      <w:r w:rsidR="00C42631" w:rsidRPr="00DF2F0D">
        <w:rPr>
          <w:rFonts w:ascii="Candara" w:hAnsi="Candara"/>
          <w:b/>
          <w:sz w:val="24"/>
          <w:szCs w:val="22"/>
          <w:lang w:val="es-ES_tradnl"/>
        </w:rPr>
        <w:t>junio</w:t>
      </w:r>
      <w:r w:rsidRPr="00DF2F0D">
        <w:rPr>
          <w:rFonts w:ascii="Candara" w:hAnsi="Candara"/>
          <w:b/>
          <w:sz w:val="24"/>
          <w:szCs w:val="22"/>
          <w:lang w:val="es-ES_tradnl"/>
        </w:rPr>
        <w:t xml:space="preserve"> 2018 comparado con en el mismo periodo de 2017.</w:t>
      </w:r>
    </w:p>
    <w:p w:rsidR="00667DF9" w:rsidRPr="00DF2F0D" w:rsidRDefault="00667DF9" w:rsidP="00667DF9">
      <w:pPr>
        <w:spacing w:line="240" w:lineRule="auto"/>
        <w:rPr>
          <w:rFonts w:asciiTheme="minorHAnsi" w:hAnsiTheme="minorHAnsi"/>
          <w:b/>
          <w:sz w:val="22"/>
          <w:szCs w:val="22"/>
          <w:lang w:val="es-ES_tradnl"/>
        </w:rPr>
      </w:pPr>
    </w:p>
    <w:p w:rsidR="00667DF9" w:rsidRPr="00DF2F0D" w:rsidRDefault="00667DF9" w:rsidP="00667DF9">
      <w:pPr>
        <w:spacing w:line="240" w:lineRule="auto"/>
        <w:rPr>
          <w:rFonts w:ascii="Candara" w:hAnsi="Candara"/>
          <w:sz w:val="22"/>
          <w:szCs w:val="22"/>
          <w:lang w:val="es-ES_tradnl"/>
        </w:rPr>
      </w:pPr>
      <w:r w:rsidRPr="00DF2F0D">
        <w:rPr>
          <w:rFonts w:ascii="Candara" w:hAnsi="Candara"/>
          <w:sz w:val="22"/>
          <w:szCs w:val="22"/>
          <w:lang w:val="es-ES_tradnl"/>
        </w:rPr>
        <w:t xml:space="preserve">Cuadro comparativo del presupuesto total modificado y el presupuesto ejercido del periodo enero – </w:t>
      </w:r>
      <w:r w:rsidR="00C42631" w:rsidRPr="00DF2F0D">
        <w:rPr>
          <w:rFonts w:ascii="Candara" w:hAnsi="Candara"/>
          <w:sz w:val="22"/>
          <w:szCs w:val="22"/>
          <w:lang w:val="es-ES_tradnl"/>
        </w:rPr>
        <w:t>junio</w:t>
      </w:r>
      <w:r w:rsidRPr="00DF2F0D">
        <w:rPr>
          <w:rFonts w:ascii="Candara" w:hAnsi="Candara"/>
          <w:sz w:val="22"/>
          <w:szCs w:val="22"/>
          <w:lang w:val="es-ES_tradnl"/>
        </w:rPr>
        <w:t xml:space="preserve"> de los ejercicios 2017/2018</w:t>
      </w:r>
    </w:p>
    <w:p w:rsidR="00667DF9" w:rsidRPr="00DF2F0D" w:rsidRDefault="00667DF9" w:rsidP="00667DF9">
      <w:pPr>
        <w:spacing w:line="240" w:lineRule="auto"/>
        <w:rPr>
          <w:rFonts w:asciiTheme="minorHAnsi" w:hAnsiTheme="minorHAnsi"/>
          <w:b/>
          <w:sz w:val="22"/>
          <w:szCs w:val="22"/>
          <w:lang w:val="es-ES_tradnl"/>
        </w:rPr>
      </w:pPr>
    </w:p>
    <w:tbl>
      <w:tblPr>
        <w:tblW w:w="5000" w:type="pct"/>
        <w:jc w:val="center"/>
        <w:tblCellMar>
          <w:left w:w="70" w:type="dxa"/>
          <w:right w:w="70" w:type="dxa"/>
        </w:tblCellMar>
        <w:tblLook w:val="04A0" w:firstRow="1" w:lastRow="0" w:firstColumn="1" w:lastColumn="0" w:noHBand="0" w:noVBand="1"/>
      </w:tblPr>
      <w:tblGrid>
        <w:gridCol w:w="2137"/>
        <w:gridCol w:w="1288"/>
        <w:gridCol w:w="1197"/>
        <w:gridCol w:w="1288"/>
        <w:gridCol w:w="1227"/>
        <w:gridCol w:w="1290"/>
        <w:gridCol w:w="1117"/>
      </w:tblGrid>
      <w:tr w:rsidR="00667DF9" w:rsidRPr="00DF2F0D" w:rsidTr="00C42631">
        <w:trPr>
          <w:trHeight w:val="732"/>
          <w:jc w:val="center"/>
        </w:trPr>
        <w:tc>
          <w:tcPr>
            <w:tcW w:w="1119" w:type="pct"/>
            <w:vMerge w:val="restar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DF2F0D" w:rsidRDefault="00667DF9" w:rsidP="00F5722F">
            <w:pPr>
              <w:widowControl/>
              <w:spacing w:line="240" w:lineRule="auto"/>
              <w:jc w:val="center"/>
              <w:rPr>
                <w:rFonts w:ascii="Candara" w:eastAsia="Times New Roman" w:hAnsi="Candara" w:cs="Times New Roman"/>
                <w:b/>
                <w:bCs/>
                <w:kern w:val="0"/>
                <w:sz w:val="20"/>
                <w:szCs w:val="20"/>
                <w:lang w:val="es-ES_tradnl" w:eastAsia="es-MX" w:bidi="ar-SA"/>
              </w:rPr>
            </w:pPr>
            <w:r w:rsidRPr="00DF2F0D">
              <w:rPr>
                <w:rFonts w:ascii="Candara" w:eastAsia="Times New Roman" w:hAnsi="Candara" w:cs="Times New Roman"/>
                <w:b/>
                <w:bCs/>
                <w:kern w:val="0"/>
                <w:sz w:val="20"/>
                <w:szCs w:val="20"/>
                <w:lang w:val="es-ES_tradnl" w:eastAsia="es-MX" w:bidi="ar-SA"/>
              </w:rPr>
              <w:t>Capítulo del gasto</w:t>
            </w:r>
          </w:p>
        </w:tc>
        <w:tc>
          <w:tcPr>
            <w:tcW w:w="675" w:type="pc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DF2F0D" w:rsidRDefault="00667DF9" w:rsidP="00C42631">
            <w:pPr>
              <w:widowControl/>
              <w:spacing w:line="240" w:lineRule="auto"/>
              <w:jc w:val="center"/>
              <w:rPr>
                <w:rFonts w:ascii="Candara" w:eastAsia="Times New Roman" w:hAnsi="Candara" w:cs="Times New Roman"/>
                <w:b/>
                <w:bCs/>
                <w:kern w:val="0"/>
                <w:sz w:val="20"/>
                <w:szCs w:val="20"/>
                <w:lang w:val="es-ES_tradnl" w:eastAsia="es-MX" w:bidi="ar-SA"/>
              </w:rPr>
            </w:pPr>
            <w:r w:rsidRPr="00DF2F0D">
              <w:rPr>
                <w:rFonts w:ascii="Candara" w:eastAsia="Times New Roman" w:hAnsi="Candara" w:cs="Times New Roman"/>
                <w:b/>
                <w:bCs/>
                <w:kern w:val="0"/>
                <w:sz w:val="20"/>
                <w:szCs w:val="20"/>
                <w:lang w:val="es-ES_tradnl" w:eastAsia="es-MX" w:bidi="ar-SA"/>
              </w:rPr>
              <w:t>Programado ene-</w:t>
            </w:r>
            <w:r w:rsidR="00C42631" w:rsidRPr="00DF2F0D">
              <w:rPr>
                <w:rFonts w:ascii="Candara" w:eastAsia="Times New Roman" w:hAnsi="Candara" w:cs="Times New Roman"/>
                <w:b/>
                <w:bCs/>
                <w:kern w:val="0"/>
                <w:sz w:val="20"/>
                <w:szCs w:val="20"/>
                <w:lang w:val="es-ES_tradnl" w:eastAsia="es-MX" w:bidi="ar-SA"/>
              </w:rPr>
              <w:t>jun</w:t>
            </w:r>
            <w:r w:rsidRPr="00DF2F0D">
              <w:rPr>
                <w:rFonts w:ascii="Candara" w:eastAsia="Times New Roman" w:hAnsi="Candara" w:cs="Times New Roman"/>
                <w:b/>
                <w:bCs/>
                <w:kern w:val="0"/>
                <w:sz w:val="20"/>
                <w:szCs w:val="20"/>
                <w:lang w:val="es-ES_tradnl" w:eastAsia="es-MX" w:bidi="ar-SA"/>
              </w:rPr>
              <w:t xml:space="preserve"> 2017</w:t>
            </w:r>
          </w:p>
        </w:tc>
        <w:tc>
          <w:tcPr>
            <w:tcW w:w="627" w:type="pc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DF2F0D" w:rsidRDefault="00667DF9" w:rsidP="00C42631">
            <w:pPr>
              <w:widowControl/>
              <w:spacing w:line="240" w:lineRule="auto"/>
              <w:jc w:val="center"/>
              <w:rPr>
                <w:rFonts w:ascii="Candara" w:eastAsia="Times New Roman" w:hAnsi="Candara" w:cs="Times New Roman"/>
                <w:b/>
                <w:bCs/>
                <w:kern w:val="0"/>
                <w:sz w:val="20"/>
                <w:szCs w:val="20"/>
                <w:lang w:val="es-ES_tradnl" w:eastAsia="es-MX" w:bidi="ar-SA"/>
              </w:rPr>
            </w:pPr>
            <w:r w:rsidRPr="00DF2F0D">
              <w:rPr>
                <w:rFonts w:ascii="Candara" w:eastAsia="Times New Roman" w:hAnsi="Candara" w:cs="Times New Roman"/>
                <w:b/>
                <w:bCs/>
                <w:kern w:val="0"/>
                <w:sz w:val="20"/>
                <w:szCs w:val="20"/>
                <w:lang w:val="es-ES_tradnl" w:eastAsia="es-MX" w:bidi="ar-SA"/>
              </w:rPr>
              <w:t>Ejercido ene-</w:t>
            </w:r>
            <w:r w:rsidR="00C42631" w:rsidRPr="00DF2F0D">
              <w:rPr>
                <w:rFonts w:ascii="Candara" w:eastAsia="Times New Roman" w:hAnsi="Candara" w:cs="Times New Roman"/>
                <w:b/>
                <w:bCs/>
                <w:kern w:val="0"/>
                <w:sz w:val="20"/>
                <w:szCs w:val="20"/>
                <w:lang w:val="es-ES_tradnl" w:eastAsia="es-MX" w:bidi="ar-SA"/>
              </w:rPr>
              <w:t>jun</w:t>
            </w:r>
            <w:r w:rsidRPr="00DF2F0D">
              <w:rPr>
                <w:rFonts w:ascii="Candara" w:eastAsia="Times New Roman" w:hAnsi="Candara" w:cs="Times New Roman"/>
                <w:b/>
                <w:bCs/>
                <w:kern w:val="0"/>
                <w:sz w:val="20"/>
                <w:szCs w:val="20"/>
                <w:lang w:val="es-ES_tradnl" w:eastAsia="es-MX" w:bidi="ar-SA"/>
              </w:rPr>
              <w:t xml:space="preserve"> 2017</w:t>
            </w:r>
          </w:p>
        </w:tc>
        <w:tc>
          <w:tcPr>
            <w:tcW w:w="675" w:type="pc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DF2F0D" w:rsidRDefault="00667DF9" w:rsidP="00C42631">
            <w:pPr>
              <w:widowControl/>
              <w:spacing w:line="240" w:lineRule="auto"/>
              <w:jc w:val="center"/>
              <w:rPr>
                <w:rFonts w:ascii="Candara" w:eastAsia="Times New Roman" w:hAnsi="Candara" w:cs="Times New Roman"/>
                <w:b/>
                <w:bCs/>
                <w:kern w:val="0"/>
                <w:sz w:val="20"/>
                <w:szCs w:val="20"/>
                <w:lang w:val="es-ES_tradnl" w:eastAsia="es-MX" w:bidi="ar-SA"/>
              </w:rPr>
            </w:pPr>
            <w:r w:rsidRPr="00DF2F0D">
              <w:rPr>
                <w:rFonts w:ascii="Candara" w:eastAsia="Times New Roman" w:hAnsi="Candara" w:cs="Times New Roman"/>
                <w:b/>
                <w:bCs/>
                <w:kern w:val="0"/>
                <w:sz w:val="20"/>
                <w:szCs w:val="20"/>
                <w:lang w:val="es-ES_tradnl" w:eastAsia="es-MX" w:bidi="ar-SA"/>
              </w:rPr>
              <w:t>Programado ene-</w:t>
            </w:r>
            <w:r w:rsidR="00C42631" w:rsidRPr="00DF2F0D">
              <w:rPr>
                <w:rFonts w:ascii="Candara" w:eastAsia="Times New Roman" w:hAnsi="Candara" w:cs="Times New Roman"/>
                <w:b/>
                <w:bCs/>
                <w:kern w:val="0"/>
                <w:sz w:val="20"/>
                <w:szCs w:val="20"/>
                <w:lang w:val="es-ES_tradnl" w:eastAsia="es-MX" w:bidi="ar-SA"/>
              </w:rPr>
              <w:t>jun</w:t>
            </w:r>
            <w:r w:rsidRPr="00DF2F0D">
              <w:rPr>
                <w:rFonts w:ascii="Candara" w:eastAsia="Times New Roman" w:hAnsi="Candara" w:cs="Times New Roman"/>
                <w:b/>
                <w:bCs/>
                <w:kern w:val="0"/>
                <w:sz w:val="20"/>
                <w:szCs w:val="20"/>
                <w:lang w:val="es-ES_tradnl" w:eastAsia="es-MX" w:bidi="ar-SA"/>
              </w:rPr>
              <w:t xml:space="preserve"> 2018</w:t>
            </w:r>
          </w:p>
        </w:tc>
        <w:tc>
          <w:tcPr>
            <w:tcW w:w="643" w:type="pct"/>
            <w:tcBorders>
              <w:top w:val="single" w:sz="4" w:space="0" w:color="auto"/>
              <w:left w:val="single" w:sz="4" w:space="0" w:color="auto"/>
              <w:bottom w:val="single" w:sz="4" w:space="0" w:color="auto"/>
              <w:right w:val="single" w:sz="4" w:space="0" w:color="auto"/>
            </w:tcBorders>
            <w:shd w:val="clear" w:color="000000" w:fill="5B9BD5"/>
            <w:vAlign w:val="center"/>
            <w:hideMark/>
          </w:tcPr>
          <w:p w:rsidR="00667DF9" w:rsidRPr="00DF2F0D" w:rsidRDefault="00667DF9" w:rsidP="00C42631">
            <w:pPr>
              <w:widowControl/>
              <w:spacing w:line="240" w:lineRule="auto"/>
              <w:jc w:val="center"/>
              <w:rPr>
                <w:rFonts w:ascii="Candara" w:eastAsia="Times New Roman" w:hAnsi="Candara" w:cs="Times New Roman"/>
                <w:b/>
                <w:bCs/>
                <w:kern w:val="0"/>
                <w:sz w:val="20"/>
                <w:szCs w:val="20"/>
                <w:lang w:val="es-ES_tradnl" w:eastAsia="es-MX" w:bidi="ar-SA"/>
              </w:rPr>
            </w:pPr>
            <w:r w:rsidRPr="00DF2F0D">
              <w:rPr>
                <w:rFonts w:ascii="Candara" w:eastAsia="Times New Roman" w:hAnsi="Candara" w:cs="Times New Roman"/>
                <w:b/>
                <w:bCs/>
                <w:kern w:val="0"/>
                <w:sz w:val="20"/>
                <w:szCs w:val="20"/>
                <w:lang w:val="es-ES_tradnl" w:eastAsia="es-MX" w:bidi="ar-SA"/>
              </w:rPr>
              <w:t>Ejercido ene-</w:t>
            </w:r>
            <w:r w:rsidR="00C42631" w:rsidRPr="00DF2F0D">
              <w:rPr>
                <w:rFonts w:ascii="Candara" w:eastAsia="Times New Roman" w:hAnsi="Candara" w:cs="Times New Roman"/>
                <w:b/>
                <w:bCs/>
                <w:kern w:val="0"/>
                <w:sz w:val="20"/>
                <w:szCs w:val="20"/>
                <w:lang w:val="es-ES_tradnl" w:eastAsia="es-MX" w:bidi="ar-SA"/>
              </w:rPr>
              <w:t>jun</w:t>
            </w:r>
            <w:r w:rsidRPr="00DF2F0D">
              <w:rPr>
                <w:rFonts w:ascii="Candara" w:eastAsia="Times New Roman" w:hAnsi="Candara" w:cs="Times New Roman"/>
                <w:b/>
                <w:bCs/>
                <w:kern w:val="0"/>
                <w:sz w:val="20"/>
                <w:szCs w:val="20"/>
                <w:lang w:val="es-ES_tradnl" w:eastAsia="es-MX" w:bidi="ar-SA"/>
              </w:rPr>
              <w:t xml:space="preserve"> 2018</w:t>
            </w:r>
          </w:p>
        </w:tc>
        <w:tc>
          <w:tcPr>
            <w:tcW w:w="676" w:type="pct"/>
            <w:tcBorders>
              <w:top w:val="single" w:sz="4" w:space="0" w:color="auto"/>
              <w:left w:val="single" w:sz="4" w:space="0" w:color="auto"/>
              <w:right w:val="single" w:sz="4" w:space="0" w:color="auto"/>
            </w:tcBorders>
            <w:shd w:val="clear" w:color="000000" w:fill="5B9BD5"/>
          </w:tcPr>
          <w:p w:rsidR="00667DF9" w:rsidRPr="00DF2F0D" w:rsidRDefault="00667DF9" w:rsidP="00F5722F">
            <w:pPr>
              <w:widowControl/>
              <w:spacing w:line="240" w:lineRule="auto"/>
              <w:jc w:val="center"/>
              <w:rPr>
                <w:rFonts w:ascii="Candara" w:eastAsia="Times New Roman" w:hAnsi="Candara" w:cs="Times New Roman"/>
                <w:b/>
                <w:bCs/>
                <w:kern w:val="0"/>
                <w:sz w:val="20"/>
                <w:szCs w:val="20"/>
                <w:lang w:val="es-ES_tradnl" w:eastAsia="es-MX" w:bidi="ar-SA"/>
              </w:rPr>
            </w:pPr>
            <w:r w:rsidRPr="00DF2F0D">
              <w:rPr>
                <w:rFonts w:ascii="Candara" w:eastAsia="Times New Roman" w:hAnsi="Candara" w:cs="Times New Roman"/>
                <w:b/>
                <w:bCs/>
                <w:kern w:val="0"/>
                <w:sz w:val="20"/>
                <w:szCs w:val="20"/>
                <w:lang w:val="es-ES_tradnl" w:eastAsia="es-MX" w:bidi="ar-SA"/>
              </w:rPr>
              <w:t>% programado</w:t>
            </w:r>
          </w:p>
        </w:tc>
        <w:tc>
          <w:tcPr>
            <w:tcW w:w="586" w:type="pct"/>
            <w:tcBorders>
              <w:top w:val="single" w:sz="4" w:space="0" w:color="auto"/>
              <w:left w:val="single" w:sz="4" w:space="0" w:color="auto"/>
              <w:right w:val="single" w:sz="4" w:space="0" w:color="auto"/>
            </w:tcBorders>
            <w:shd w:val="clear" w:color="000000" w:fill="5B9BD5"/>
          </w:tcPr>
          <w:p w:rsidR="00667DF9" w:rsidRPr="00DF2F0D" w:rsidRDefault="00667DF9" w:rsidP="00F5722F">
            <w:pPr>
              <w:widowControl/>
              <w:spacing w:line="240" w:lineRule="auto"/>
              <w:jc w:val="center"/>
              <w:rPr>
                <w:rFonts w:ascii="Candara" w:eastAsia="Times New Roman" w:hAnsi="Candara" w:cs="Times New Roman"/>
                <w:b/>
                <w:bCs/>
                <w:kern w:val="0"/>
                <w:sz w:val="20"/>
                <w:szCs w:val="20"/>
                <w:lang w:val="es-ES_tradnl" w:eastAsia="es-MX" w:bidi="ar-SA"/>
              </w:rPr>
            </w:pPr>
          </w:p>
          <w:p w:rsidR="00667DF9" w:rsidRPr="00DF2F0D" w:rsidRDefault="00667DF9" w:rsidP="00F5722F">
            <w:pPr>
              <w:widowControl/>
              <w:spacing w:line="240" w:lineRule="auto"/>
              <w:jc w:val="center"/>
              <w:rPr>
                <w:rFonts w:ascii="Candara" w:eastAsia="Times New Roman" w:hAnsi="Candara" w:cs="Times New Roman"/>
                <w:b/>
                <w:bCs/>
                <w:kern w:val="0"/>
                <w:sz w:val="20"/>
                <w:szCs w:val="20"/>
                <w:lang w:val="es-ES_tradnl" w:eastAsia="es-MX" w:bidi="ar-SA"/>
              </w:rPr>
            </w:pPr>
            <w:r w:rsidRPr="00DF2F0D">
              <w:rPr>
                <w:rFonts w:ascii="Candara" w:eastAsia="Times New Roman" w:hAnsi="Candara" w:cs="Times New Roman"/>
                <w:b/>
                <w:bCs/>
                <w:kern w:val="0"/>
                <w:sz w:val="20"/>
                <w:szCs w:val="20"/>
                <w:lang w:val="es-ES_tradnl" w:eastAsia="es-MX" w:bidi="ar-SA"/>
              </w:rPr>
              <w:t>%   ejercido</w:t>
            </w:r>
          </w:p>
        </w:tc>
      </w:tr>
      <w:tr w:rsidR="00667DF9" w:rsidRPr="00DF2F0D" w:rsidTr="00C42631">
        <w:trPr>
          <w:trHeight w:val="300"/>
          <w:jc w:val="center"/>
        </w:trPr>
        <w:tc>
          <w:tcPr>
            <w:tcW w:w="1119" w:type="pct"/>
            <w:vMerge/>
            <w:tcBorders>
              <w:top w:val="single" w:sz="4" w:space="0" w:color="auto"/>
              <w:left w:val="single" w:sz="4" w:space="0" w:color="auto"/>
              <w:bottom w:val="single" w:sz="4" w:space="0" w:color="auto"/>
              <w:right w:val="single" w:sz="4" w:space="0" w:color="auto"/>
            </w:tcBorders>
            <w:vAlign w:val="center"/>
            <w:hideMark/>
          </w:tcPr>
          <w:p w:rsidR="00667DF9" w:rsidRPr="00DF2F0D" w:rsidRDefault="00667DF9" w:rsidP="00F5722F">
            <w:pPr>
              <w:widowControl/>
              <w:spacing w:line="240" w:lineRule="auto"/>
              <w:jc w:val="left"/>
              <w:rPr>
                <w:rFonts w:ascii="Candara" w:eastAsia="Times New Roman" w:hAnsi="Candara" w:cs="Times New Roman"/>
                <w:b/>
                <w:bCs/>
                <w:kern w:val="0"/>
                <w:sz w:val="20"/>
                <w:szCs w:val="20"/>
                <w:lang w:val="es-ES_tradnl" w:eastAsia="es-MX" w:bidi="ar-SA"/>
              </w:rPr>
            </w:pPr>
          </w:p>
        </w:tc>
        <w:tc>
          <w:tcPr>
            <w:tcW w:w="2619" w:type="pct"/>
            <w:gridSpan w:val="4"/>
            <w:tcBorders>
              <w:top w:val="single" w:sz="4" w:space="0" w:color="auto"/>
              <w:left w:val="nil"/>
              <w:bottom w:val="single" w:sz="4" w:space="0" w:color="auto"/>
              <w:right w:val="single" w:sz="4" w:space="0" w:color="auto"/>
            </w:tcBorders>
            <w:shd w:val="clear" w:color="000000" w:fill="5B9BD5"/>
            <w:vAlign w:val="center"/>
            <w:hideMark/>
          </w:tcPr>
          <w:p w:rsidR="00667DF9" w:rsidRPr="00DF2F0D" w:rsidRDefault="00667DF9" w:rsidP="00F5722F">
            <w:pPr>
              <w:widowControl/>
              <w:spacing w:line="240" w:lineRule="auto"/>
              <w:jc w:val="center"/>
              <w:rPr>
                <w:rFonts w:ascii="Candara" w:eastAsia="Times New Roman" w:hAnsi="Candara" w:cs="Times New Roman"/>
                <w:b/>
                <w:bCs/>
                <w:kern w:val="0"/>
                <w:sz w:val="20"/>
                <w:szCs w:val="20"/>
                <w:lang w:val="es-ES_tradnl" w:eastAsia="es-MX" w:bidi="ar-SA"/>
              </w:rPr>
            </w:pPr>
            <w:r w:rsidRPr="00DF2F0D">
              <w:rPr>
                <w:rFonts w:ascii="Candara" w:eastAsia="Times New Roman" w:hAnsi="Candara" w:cs="Times New Roman"/>
                <w:b/>
                <w:bCs/>
                <w:kern w:val="0"/>
                <w:sz w:val="20"/>
                <w:szCs w:val="20"/>
                <w:lang w:val="es-ES_tradnl" w:eastAsia="es-MX" w:bidi="ar-SA"/>
              </w:rPr>
              <w:t>(miles de pesos)</w:t>
            </w:r>
          </w:p>
        </w:tc>
        <w:tc>
          <w:tcPr>
            <w:tcW w:w="1262" w:type="pct"/>
            <w:gridSpan w:val="2"/>
            <w:tcBorders>
              <w:top w:val="single" w:sz="4" w:space="0" w:color="auto"/>
              <w:left w:val="nil"/>
              <w:bottom w:val="single" w:sz="4" w:space="0" w:color="auto"/>
              <w:right w:val="single" w:sz="4" w:space="0" w:color="auto"/>
            </w:tcBorders>
            <w:shd w:val="clear" w:color="000000" w:fill="5B9BD5"/>
          </w:tcPr>
          <w:p w:rsidR="00667DF9" w:rsidRPr="00DF2F0D" w:rsidRDefault="00667DF9" w:rsidP="00F5722F">
            <w:pPr>
              <w:widowControl/>
              <w:spacing w:line="240" w:lineRule="auto"/>
              <w:jc w:val="center"/>
              <w:rPr>
                <w:rFonts w:ascii="Candara" w:eastAsia="Times New Roman" w:hAnsi="Candara" w:cs="Times New Roman"/>
                <w:b/>
                <w:bCs/>
                <w:kern w:val="0"/>
                <w:sz w:val="20"/>
                <w:szCs w:val="20"/>
                <w:lang w:val="es-ES_tradnl" w:eastAsia="es-MX" w:bidi="ar-SA"/>
              </w:rPr>
            </w:pPr>
            <w:r w:rsidRPr="00DF2F0D">
              <w:rPr>
                <w:rFonts w:ascii="Candara" w:eastAsia="Times New Roman" w:hAnsi="Candara" w:cs="Times New Roman"/>
                <w:b/>
                <w:bCs/>
                <w:kern w:val="0"/>
                <w:sz w:val="20"/>
                <w:szCs w:val="20"/>
                <w:lang w:val="es-ES_tradnl" w:eastAsia="es-MX" w:bidi="ar-SA"/>
              </w:rPr>
              <w:t>(porcentajes)</w:t>
            </w:r>
          </w:p>
        </w:tc>
      </w:tr>
      <w:tr w:rsidR="00C42631" w:rsidRPr="00DF2F0D" w:rsidTr="00C42631">
        <w:trPr>
          <w:trHeight w:val="510"/>
          <w:jc w:val="center"/>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center"/>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Capítulo 1000 Servicios Personales</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132,739.3</w:t>
            </w:r>
          </w:p>
        </w:tc>
        <w:tc>
          <w:tcPr>
            <w:tcW w:w="627"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134,850.0</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138,436.0</w:t>
            </w:r>
          </w:p>
        </w:tc>
        <w:tc>
          <w:tcPr>
            <w:tcW w:w="643" w:type="pct"/>
            <w:tcBorders>
              <w:top w:val="nil"/>
              <w:left w:val="nil"/>
              <w:bottom w:val="single" w:sz="4" w:space="0" w:color="auto"/>
              <w:right w:val="single" w:sz="4" w:space="0" w:color="auto"/>
            </w:tcBorders>
            <w:shd w:val="clear" w:color="auto" w:fill="auto"/>
            <w:vAlign w:val="center"/>
            <w:hideMark/>
          </w:tcPr>
          <w:p w:rsidR="00C42631" w:rsidRPr="00DF2F0D" w:rsidRDefault="000A02DD"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133,684.6</w:t>
            </w:r>
          </w:p>
        </w:tc>
        <w:tc>
          <w:tcPr>
            <w:tcW w:w="676" w:type="pct"/>
            <w:tcBorders>
              <w:top w:val="nil"/>
              <w:left w:val="nil"/>
              <w:bottom w:val="single" w:sz="4" w:space="0" w:color="auto"/>
              <w:right w:val="single" w:sz="4" w:space="0" w:color="auto"/>
            </w:tcBorders>
            <w:vAlign w:val="center"/>
          </w:tcPr>
          <w:p w:rsidR="00C42631" w:rsidRPr="00DF2F0D" w:rsidRDefault="0039095E" w:rsidP="000A02DD">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4.29</w:t>
            </w:r>
          </w:p>
        </w:tc>
        <w:tc>
          <w:tcPr>
            <w:tcW w:w="586" w:type="pct"/>
            <w:tcBorders>
              <w:top w:val="nil"/>
              <w:left w:val="nil"/>
              <w:bottom w:val="single" w:sz="4" w:space="0" w:color="auto"/>
              <w:right w:val="single" w:sz="4" w:space="0" w:color="auto"/>
            </w:tcBorders>
            <w:vAlign w:val="center"/>
          </w:tcPr>
          <w:p w:rsidR="00C42631" w:rsidRPr="00DF2F0D" w:rsidRDefault="0039095E"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-0.86</w:t>
            </w:r>
          </w:p>
        </w:tc>
      </w:tr>
      <w:tr w:rsidR="00C42631" w:rsidRPr="00DF2F0D" w:rsidTr="00C42631">
        <w:trPr>
          <w:trHeight w:val="510"/>
          <w:jc w:val="center"/>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center"/>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Capítulo 2000 Materiales y Suministros</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6,405.7</w:t>
            </w:r>
          </w:p>
        </w:tc>
        <w:tc>
          <w:tcPr>
            <w:tcW w:w="627"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4,969.2</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5,084.4</w:t>
            </w:r>
          </w:p>
        </w:tc>
        <w:tc>
          <w:tcPr>
            <w:tcW w:w="643" w:type="pct"/>
            <w:tcBorders>
              <w:top w:val="nil"/>
              <w:left w:val="nil"/>
              <w:bottom w:val="single" w:sz="4" w:space="0" w:color="auto"/>
              <w:right w:val="single" w:sz="4" w:space="0" w:color="auto"/>
            </w:tcBorders>
            <w:shd w:val="clear" w:color="auto" w:fill="auto"/>
            <w:vAlign w:val="center"/>
            <w:hideMark/>
          </w:tcPr>
          <w:p w:rsidR="00C42631" w:rsidRPr="00DF2F0D" w:rsidRDefault="000A02DD"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4,343.7</w:t>
            </w:r>
          </w:p>
        </w:tc>
        <w:tc>
          <w:tcPr>
            <w:tcW w:w="676" w:type="pct"/>
            <w:tcBorders>
              <w:top w:val="nil"/>
              <w:left w:val="nil"/>
              <w:bottom w:val="single" w:sz="4" w:space="0" w:color="auto"/>
              <w:right w:val="single" w:sz="4" w:space="0" w:color="auto"/>
            </w:tcBorders>
            <w:vAlign w:val="center"/>
          </w:tcPr>
          <w:p w:rsidR="00C42631" w:rsidRPr="00DF2F0D" w:rsidRDefault="0039095E"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-20.63</w:t>
            </w:r>
          </w:p>
        </w:tc>
        <w:tc>
          <w:tcPr>
            <w:tcW w:w="586" w:type="pct"/>
            <w:tcBorders>
              <w:top w:val="nil"/>
              <w:left w:val="nil"/>
              <w:bottom w:val="single" w:sz="4" w:space="0" w:color="auto"/>
              <w:right w:val="single" w:sz="4" w:space="0" w:color="auto"/>
            </w:tcBorders>
            <w:vAlign w:val="center"/>
          </w:tcPr>
          <w:p w:rsidR="00C42631" w:rsidRPr="00DF2F0D" w:rsidRDefault="0039095E"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-12.59</w:t>
            </w:r>
          </w:p>
        </w:tc>
      </w:tr>
      <w:tr w:rsidR="00C42631" w:rsidRPr="00DF2F0D" w:rsidTr="00C42631">
        <w:trPr>
          <w:trHeight w:val="510"/>
          <w:jc w:val="center"/>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center"/>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Capítulo 3000 Servicios Generales</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34,233.2</w:t>
            </w:r>
          </w:p>
        </w:tc>
        <w:tc>
          <w:tcPr>
            <w:tcW w:w="627"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31,238.6</w:t>
            </w:r>
          </w:p>
        </w:tc>
        <w:tc>
          <w:tcPr>
            <w:tcW w:w="675" w:type="pct"/>
            <w:tcBorders>
              <w:top w:val="nil"/>
              <w:left w:val="nil"/>
              <w:bottom w:val="single" w:sz="4" w:space="0" w:color="auto"/>
              <w:right w:val="single" w:sz="4" w:space="0" w:color="auto"/>
            </w:tcBorders>
            <w:shd w:val="clear" w:color="auto" w:fill="auto"/>
            <w:vAlign w:val="center"/>
          </w:tcPr>
          <w:p w:rsidR="00C42631" w:rsidRPr="00DF2F0D" w:rsidRDefault="00C42631" w:rsidP="00394C7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3</w:t>
            </w:r>
            <w:r w:rsidR="00394C7F" w:rsidRPr="00DF2F0D">
              <w:rPr>
                <w:rFonts w:ascii="Candara" w:eastAsia="Times New Roman" w:hAnsi="Candara" w:cs="Times New Roman"/>
                <w:color w:val="000000"/>
                <w:kern w:val="0"/>
                <w:sz w:val="20"/>
                <w:szCs w:val="20"/>
                <w:lang w:val="es-ES_tradnl" w:eastAsia="es-MX" w:bidi="ar-SA"/>
              </w:rPr>
              <w:t>7,637.4</w:t>
            </w:r>
          </w:p>
        </w:tc>
        <w:tc>
          <w:tcPr>
            <w:tcW w:w="643" w:type="pct"/>
            <w:tcBorders>
              <w:top w:val="nil"/>
              <w:left w:val="nil"/>
              <w:bottom w:val="single" w:sz="4" w:space="0" w:color="auto"/>
              <w:right w:val="single" w:sz="4" w:space="0" w:color="auto"/>
            </w:tcBorders>
            <w:shd w:val="clear" w:color="auto" w:fill="auto"/>
            <w:vAlign w:val="center"/>
          </w:tcPr>
          <w:p w:rsidR="00C42631" w:rsidRPr="00DF2F0D" w:rsidRDefault="000A02DD"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34,630.6</w:t>
            </w:r>
          </w:p>
        </w:tc>
        <w:tc>
          <w:tcPr>
            <w:tcW w:w="676" w:type="pct"/>
            <w:tcBorders>
              <w:top w:val="nil"/>
              <w:left w:val="nil"/>
              <w:bottom w:val="single" w:sz="4" w:space="0" w:color="auto"/>
              <w:right w:val="single" w:sz="4" w:space="0" w:color="auto"/>
            </w:tcBorders>
            <w:vAlign w:val="center"/>
          </w:tcPr>
          <w:p w:rsidR="00C42631" w:rsidRPr="00DF2F0D" w:rsidRDefault="00394C7F" w:rsidP="00394C7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9.94</w:t>
            </w:r>
          </w:p>
        </w:tc>
        <w:tc>
          <w:tcPr>
            <w:tcW w:w="586" w:type="pct"/>
            <w:tcBorders>
              <w:top w:val="nil"/>
              <w:left w:val="nil"/>
              <w:bottom w:val="single" w:sz="4" w:space="0" w:color="auto"/>
              <w:right w:val="single" w:sz="4" w:space="0" w:color="auto"/>
            </w:tcBorders>
            <w:vAlign w:val="center"/>
          </w:tcPr>
          <w:p w:rsidR="00C42631" w:rsidRPr="00DF2F0D" w:rsidRDefault="0039095E"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10.86</w:t>
            </w:r>
          </w:p>
        </w:tc>
      </w:tr>
      <w:tr w:rsidR="00C42631" w:rsidRPr="00DF2F0D" w:rsidTr="00C42631">
        <w:trPr>
          <w:trHeight w:val="510"/>
          <w:jc w:val="center"/>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center"/>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Capítulo 4000 Transferencias</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3,618.0</w:t>
            </w:r>
          </w:p>
        </w:tc>
        <w:tc>
          <w:tcPr>
            <w:tcW w:w="627"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4,349.8</w:t>
            </w:r>
          </w:p>
        </w:tc>
        <w:tc>
          <w:tcPr>
            <w:tcW w:w="675" w:type="pct"/>
            <w:tcBorders>
              <w:top w:val="nil"/>
              <w:left w:val="nil"/>
              <w:bottom w:val="single" w:sz="4" w:space="0" w:color="auto"/>
              <w:right w:val="single" w:sz="4" w:space="0" w:color="auto"/>
            </w:tcBorders>
            <w:shd w:val="clear" w:color="auto" w:fill="auto"/>
            <w:vAlign w:val="center"/>
          </w:tcPr>
          <w:p w:rsidR="00C42631" w:rsidRPr="00DF2F0D" w:rsidRDefault="00C42631"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3,232.4</w:t>
            </w:r>
          </w:p>
        </w:tc>
        <w:tc>
          <w:tcPr>
            <w:tcW w:w="643" w:type="pct"/>
            <w:tcBorders>
              <w:top w:val="nil"/>
              <w:left w:val="nil"/>
              <w:bottom w:val="single" w:sz="4" w:space="0" w:color="auto"/>
              <w:right w:val="single" w:sz="4" w:space="0" w:color="auto"/>
            </w:tcBorders>
            <w:shd w:val="clear" w:color="auto" w:fill="auto"/>
            <w:vAlign w:val="center"/>
          </w:tcPr>
          <w:p w:rsidR="00C42631" w:rsidRPr="00DF2F0D" w:rsidRDefault="000A02DD" w:rsidP="000A02DD">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2,502.2</w:t>
            </w:r>
          </w:p>
        </w:tc>
        <w:tc>
          <w:tcPr>
            <w:tcW w:w="676" w:type="pct"/>
            <w:tcBorders>
              <w:top w:val="nil"/>
              <w:left w:val="nil"/>
              <w:bottom w:val="single" w:sz="4" w:space="0" w:color="auto"/>
              <w:right w:val="single" w:sz="4" w:space="0" w:color="auto"/>
            </w:tcBorders>
            <w:vAlign w:val="center"/>
          </w:tcPr>
          <w:p w:rsidR="00C42631" w:rsidRPr="00DF2F0D" w:rsidRDefault="00C42631" w:rsidP="0039095E">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w:t>
            </w:r>
            <w:r w:rsidR="0039095E" w:rsidRPr="00DF2F0D">
              <w:rPr>
                <w:rFonts w:ascii="Candara" w:eastAsia="Times New Roman" w:hAnsi="Candara" w:cs="Times New Roman"/>
                <w:color w:val="000000"/>
                <w:kern w:val="0"/>
                <w:sz w:val="20"/>
                <w:szCs w:val="20"/>
                <w:lang w:val="es-ES_tradnl" w:eastAsia="es-MX" w:bidi="ar-SA"/>
              </w:rPr>
              <w:t>10.66</w:t>
            </w:r>
          </w:p>
        </w:tc>
        <w:tc>
          <w:tcPr>
            <w:tcW w:w="586" w:type="pct"/>
            <w:tcBorders>
              <w:top w:val="nil"/>
              <w:left w:val="nil"/>
              <w:bottom w:val="single" w:sz="4" w:space="0" w:color="auto"/>
              <w:right w:val="single" w:sz="4" w:space="0" w:color="auto"/>
            </w:tcBorders>
            <w:vAlign w:val="center"/>
          </w:tcPr>
          <w:p w:rsidR="00C42631" w:rsidRPr="00DF2F0D" w:rsidRDefault="0039095E"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-42.47</w:t>
            </w:r>
          </w:p>
        </w:tc>
      </w:tr>
      <w:tr w:rsidR="00C42631" w:rsidRPr="00DF2F0D" w:rsidTr="00C42631">
        <w:trPr>
          <w:trHeight w:val="510"/>
          <w:jc w:val="center"/>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center"/>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Capítulo 3000 y 4000 Otras Erogaciones</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10.0</w:t>
            </w:r>
          </w:p>
        </w:tc>
        <w:tc>
          <w:tcPr>
            <w:tcW w:w="627"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1.2</w:t>
            </w:r>
          </w:p>
        </w:tc>
        <w:tc>
          <w:tcPr>
            <w:tcW w:w="675" w:type="pct"/>
            <w:tcBorders>
              <w:top w:val="nil"/>
              <w:left w:val="nil"/>
              <w:bottom w:val="single" w:sz="4" w:space="0" w:color="auto"/>
              <w:right w:val="single" w:sz="4" w:space="0" w:color="auto"/>
            </w:tcBorders>
            <w:shd w:val="clear" w:color="auto" w:fill="auto"/>
            <w:vAlign w:val="center"/>
          </w:tcPr>
          <w:p w:rsidR="00C42631" w:rsidRPr="00DF2F0D" w:rsidRDefault="000A02DD"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3.0</w:t>
            </w:r>
          </w:p>
        </w:tc>
        <w:tc>
          <w:tcPr>
            <w:tcW w:w="643" w:type="pct"/>
            <w:tcBorders>
              <w:top w:val="nil"/>
              <w:left w:val="nil"/>
              <w:bottom w:val="single" w:sz="4" w:space="0" w:color="auto"/>
              <w:right w:val="single" w:sz="4" w:space="0" w:color="auto"/>
            </w:tcBorders>
            <w:shd w:val="clear" w:color="auto" w:fill="auto"/>
            <w:vAlign w:val="center"/>
          </w:tcPr>
          <w:p w:rsidR="00C42631" w:rsidRPr="00DF2F0D" w:rsidRDefault="000A02DD"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2.3</w:t>
            </w:r>
          </w:p>
        </w:tc>
        <w:tc>
          <w:tcPr>
            <w:tcW w:w="676" w:type="pct"/>
            <w:tcBorders>
              <w:top w:val="nil"/>
              <w:left w:val="nil"/>
              <w:bottom w:val="single" w:sz="4" w:space="0" w:color="auto"/>
              <w:right w:val="single" w:sz="4" w:space="0" w:color="auto"/>
            </w:tcBorders>
            <w:vAlign w:val="center"/>
          </w:tcPr>
          <w:p w:rsidR="00C42631" w:rsidRPr="00DF2F0D" w:rsidRDefault="0039095E"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-70</w:t>
            </w:r>
            <w:r w:rsidR="00C42631" w:rsidRPr="00DF2F0D">
              <w:rPr>
                <w:rFonts w:ascii="Candara" w:eastAsia="Times New Roman" w:hAnsi="Candara" w:cs="Times New Roman"/>
                <w:color w:val="000000"/>
                <w:kern w:val="0"/>
                <w:sz w:val="20"/>
                <w:szCs w:val="20"/>
                <w:lang w:val="es-ES_tradnl" w:eastAsia="es-MX" w:bidi="ar-SA"/>
              </w:rPr>
              <w:t>.0</w:t>
            </w:r>
          </w:p>
        </w:tc>
        <w:tc>
          <w:tcPr>
            <w:tcW w:w="586" w:type="pct"/>
            <w:tcBorders>
              <w:top w:val="nil"/>
              <w:left w:val="nil"/>
              <w:bottom w:val="single" w:sz="4" w:space="0" w:color="auto"/>
              <w:right w:val="single" w:sz="4" w:space="0" w:color="auto"/>
            </w:tcBorders>
            <w:vAlign w:val="center"/>
          </w:tcPr>
          <w:p w:rsidR="00C42631" w:rsidRPr="00DF2F0D" w:rsidRDefault="0039095E"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91.67</w:t>
            </w:r>
          </w:p>
        </w:tc>
      </w:tr>
      <w:tr w:rsidR="00C42631" w:rsidRPr="00DF2F0D" w:rsidTr="00C42631">
        <w:trPr>
          <w:trHeight w:val="510"/>
          <w:jc w:val="center"/>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center"/>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Total gasto corriente</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177,006.2</w:t>
            </w:r>
          </w:p>
        </w:tc>
        <w:tc>
          <w:tcPr>
            <w:tcW w:w="627"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175,408.8</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0A02DD" w:rsidP="00394C7F">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18</w:t>
            </w:r>
            <w:r w:rsidR="00394C7F" w:rsidRPr="00DF2F0D">
              <w:rPr>
                <w:rFonts w:ascii="Candara" w:eastAsia="Times New Roman" w:hAnsi="Candara" w:cs="Times New Roman"/>
                <w:b/>
                <w:bCs/>
                <w:color w:val="000000"/>
                <w:kern w:val="0"/>
                <w:sz w:val="20"/>
                <w:szCs w:val="20"/>
                <w:lang w:val="es-ES_tradnl" w:eastAsia="es-MX" w:bidi="ar-SA"/>
              </w:rPr>
              <w:t>4,393.2</w:t>
            </w:r>
          </w:p>
        </w:tc>
        <w:tc>
          <w:tcPr>
            <w:tcW w:w="643" w:type="pct"/>
            <w:tcBorders>
              <w:top w:val="nil"/>
              <w:left w:val="nil"/>
              <w:bottom w:val="single" w:sz="4" w:space="0" w:color="auto"/>
              <w:right w:val="single" w:sz="4" w:space="0" w:color="auto"/>
            </w:tcBorders>
            <w:shd w:val="clear" w:color="auto" w:fill="auto"/>
            <w:vAlign w:val="center"/>
            <w:hideMark/>
          </w:tcPr>
          <w:p w:rsidR="00C42631" w:rsidRPr="00DF2F0D" w:rsidRDefault="000A02DD" w:rsidP="00F5722F">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175,163.4</w:t>
            </w:r>
          </w:p>
        </w:tc>
        <w:tc>
          <w:tcPr>
            <w:tcW w:w="676" w:type="pct"/>
            <w:tcBorders>
              <w:top w:val="nil"/>
              <w:left w:val="nil"/>
              <w:bottom w:val="single" w:sz="4" w:space="0" w:color="auto"/>
              <w:right w:val="single" w:sz="4" w:space="0" w:color="auto"/>
            </w:tcBorders>
            <w:vAlign w:val="center"/>
          </w:tcPr>
          <w:p w:rsidR="00C42631" w:rsidRPr="00DF2F0D" w:rsidRDefault="00394C7F" w:rsidP="00F5722F">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4.17</w:t>
            </w:r>
          </w:p>
        </w:tc>
        <w:tc>
          <w:tcPr>
            <w:tcW w:w="586" w:type="pct"/>
            <w:tcBorders>
              <w:top w:val="nil"/>
              <w:left w:val="nil"/>
              <w:bottom w:val="single" w:sz="4" w:space="0" w:color="auto"/>
              <w:right w:val="single" w:sz="4" w:space="0" w:color="auto"/>
            </w:tcBorders>
            <w:vAlign w:val="center"/>
          </w:tcPr>
          <w:p w:rsidR="00C42631" w:rsidRPr="00DF2F0D" w:rsidRDefault="0039095E" w:rsidP="00F5722F">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-0.14</w:t>
            </w:r>
          </w:p>
        </w:tc>
      </w:tr>
      <w:tr w:rsidR="00C42631" w:rsidRPr="00DF2F0D" w:rsidTr="00C42631">
        <w:trPr>
          <w:trHeight w:val="510"/>
          <w:jc w:val="center"/>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center"/>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Capítulo 5000 Bienes Muebles e Inmuebles</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0.0</w:t>
            </w:r>
          </w:p>
        </w:tc>
        <w:tc>
          <w:tcPr>
            <w:tcW w:w="627"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0.0</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0.0</w:t>
            </w:r>
          </w:p>
        </w:tc>
        <w:tc>
          <w:tcPr>
            <w:tcW w:w="643" w:type="pct"/>
            <w:tcBorders>
              <w:top w:val="nil"/>
              <w:left w:val="nil"/>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0.0</w:t>
            </w:r>
          </w:p>
        </w:tc>
        <w:tc>
          <w:tcPr>
            <w:tcW w:w="676" w:type="pct"/>
            <w:tcBorders>
              <w:top w:val="nil"/>
              <w:left w:val="nil"/>
              <w:bottom w:val="single" w:sz="4" w:space="0" w:color="auto"/>
              <w:right w:val="single" w:sz="4" w:space="0" w:color="auto"/>
            </w:tcBorders>
          </w:tcPr>
          <w:p w:rsidR="00C42631" w:rsidRPr="00DF2F0D" w:rsidRDefault="00C42631"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0.0</w:t>
            </w:r>
          </w:p>
        </w:tc>
        <w:tc>
          <w:tcPr>
            <w:tcW w:w="586" w:type="pct"/>
            <w:tcBorders>
              <w:top w:val="nil"/>
              <w:left w:val="nil"/>
              <w:bottom w:val="single" w:sz="4" w:space="0" w:color="auto"/>
              <w:right w:val="single" w:sz="4" w:space="0" w:color="auto"/>
            </w:tcBorders>
          </w:tcPr>
          <w:p w:rsidR="00C42631" w:rsidRPr="00DF2F0D" w:rsidRDefault="00C42631"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0.0</w:t>
            </w:r>
          </w:p>
        </w:tc>
      </w:tr>
      <w:tr w:rsidR="00C42631" w:rsidRPr="00DF2F0D" w:rsidTr="00C42631">
        <w:trPr>
          <w:trHeight w:val="510"/>
          <w:jc w:val="center"/>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center"/>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Capítulo 6000 Obra Pública</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0.0</w:t>
            </w:r>
          </w:p>
        </w:tc>
        <w:tc>
          <w:tcPr>
            <w:tcW w:w="627"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0.0</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0.0</w:t>
            </w:r>
          </w:p>
        </w:tc>
        <w:tc>
          <w:tcPr>
            <w:tcW w:w="643" w:type="pct"/>
            <w:tcBorders>
              <w:top w:val="nil"/>
              <w:left w:val="nil"/>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0.0</w:t>
            </w:r>
          </w:p>
        </w:tc>
        <w:tc>
          <w:tcPr>
            <w:tcW w:w="676" w:type="pct"/>
            <w:tcBorders>
              <w:top w:val="nil"/>
              <w:left w:val="nil"/>
              <w:bottom w:val="single" w:sz="4" w:space="0" w:color="auto"/>
              <w:right w:val="single" w:sz="4" w:space="0" w:color="auto"/>
            </w:tcBorders>
          </w:tcPr>
          <w:p w:rsidR="00C42631" w:rsidRPr="00DF2F0D" w:rsidRDefault="00C42631"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0.0</w:t>
            </w:r>
          </w:p>
        </w:tc>
        <w:tc>
          <w:tcPr>
            <w:tcW w:w="586" w:type="pct"/>
            <w:tcBorders>
              <w:top w:val="nil"/>
              <w:left w:val="nil"/>
              <w:bottom w:val="single" w:sz="4" w:space="0" w:color="auto"/>
              <w:right w:val="single" w:sz="4" w:space="0" w:color="auto"/>
            </w:tcBorders>
          </w:tcPr>
          <w:p w:rsidR="00C42631" w:rsidRPr="00DF2F0D" w:rsidRDefault="00C42631" w:rsidP="00F5722F">
            <w:pPr>
              <w:widowControl/>
              <w:spacing w:line="240" w:lineRule="auto"/>
              <w:jc w:val="right"/>
              <w:rPr>
                <w:rFonts w:ascii="Candara" w:eastAsia="Times New Roman" w:hAnsi="Candara" w:cs="Times New Roman"/>
                <w:color w:val="000000"/>
                <w:kern w:val="0"/>
                <w:sz w:val="20"/>
                <w:szCs w:val="20"/>
                <w:lang w:val="es-ES_tradnl" w:eastAsia="es-MX" w:bidi="ar-SA"/>
              </w:rPr>
            </w:pPr>
            <w:r w:rsidRPr="00DF2F0D">
              <w:rPr>
                <w:rFonts w:ascii="Candara" w:eastAsia="Times New Roman" w:hAnsi="Candara" w:cs="Times New Roman"/>
                <w:color w:val="000000"/>
                <w:kern w:val="0"/>
                <w:sz w:val="20"/>
                <w:szCs w:val="20"/>
                <w:lang w:val="es-ES_tradnl" w:eastAsia="es-MX" w:bidi="ar-SA"/>
              </w:rPr>
              <w:t>0.0</w:t>
            </w:r>
          </w:p>
        </w:tc>
      </w:tr>
      <w:tr w:rsidR="00C42631" w:rsidRPr="00DF2F0D" w:rsidTr="00C42631">
        <w:trPr>
          <w:trHeight w:val="510"/>
          <w:jc w:val="center"/>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center"/>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Total gasto de inversión</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0.0</w:t>
            </w:r>
          </w:p>
        </w:tc>
        <w:tc>
          <w:tcPr>
            <w:tcW w:w="627"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0.0</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0.0</w:t>
            </w:r>
          </w:p>
        </w:tc>
        <w:tc>
          <w:tcPr>
            <w:tcW w:w="643" w:type="pct"/>
            <w:tcBorders>
              <w:top w:val="nil"/>
              <w:left w:val="nil"/>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0.0</w:t>
            </w:r>
          </w:p>
        </w:tc>
        <w:tc>
          <w:tcPr>
            <w:tcW w:w="676" w:type="pct"/>
            <w:tcBorders>
              <w:top w:val="nil"/>
              <w:left w:val="nil"/>
              <w:bottom w:val="single" w:sz="4" w:space="0" w:color="auto"/>
              <w:right w:val="single" w:sz="4" w:space="0" w:color="auto"/>
            </w:tcBorders>
            <w:vAlign w:val="center"/>
          </w:tcPr>
          <w:p w:rsidR="00C42631" w:rsidRPr="00DF2F0D" w:rsidRDefault="00C42631" w:rsidP="00F5722F">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0.0</w:t>
            </w:r>
          </w:p>
        </w:tc>
        <w:tc>
          <w:tcPr>
            <w:tcW w:w="586" w:type="pct"/>
            <w:tcBorders>
              <w:top w:val="nil"/>
              <w:left w:val="nil"/>
              <w:bottom w:val="single" w:sz="4" w:space="0" w:color="auto"/>
              <w:right w:val="single" w:sz="4" w:space="0" w:color="auto"/>
            </w:tcBorders>
            <w:vAlign w:val="center"/>
          </w:tcPr>
          <w:p w:rsidR="00C42631" w:rsidRPr="00DF2F0D" w:rsidRDefault="00C42631" w:rsidP="00F5722F">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0.0</w:t>
            </w:r>
          </w:p>
        </w:tc>
      </w:tr>
      <w:tr w:rsidR="00C42631" w:rsidRPr="00DF2F0D" w:rsidTr="00C42631">
        <w:trPr>
          <w:trHeight w:val="480"/>
          <w:jc w:val="center"/>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C42631" w:rsidRPr="00DF2F0D" w:rsidRDefault="00C42631" w:rsidP="00F5722F">
            <w:pPr>
              <w:widowControl/>
              <w:spacing w:line="240" w:lineRule="auto"/>
              <w:jc w:val="center"/>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Gran total:</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177,006.2</w:t>
            </w:r>
          </w:p>
        </w:tc>
        <w:tc>
          <w:tcPr>
            <w:tcW w:w="627" w:type="pct"/>
            <w:tcBorders>
              <w:top w:val="nil"/>
              <w:left w:val="nil"/>
              <w:bottom w:val="single" w:sz="4" w:space="0" w:color="auto"/>
              <w:right w:val="single" w:sz="4" w:space="0" w:color="auto"/>
            </w:tcBorders>
            <w:shd w:val="clear" w:color="auto" w:fill="auto"/>
            <w:vAlign w:val="center"/>
            <w:hideMark/>
          </w:tcPr>
          <w:p w:rsidR="00C42631" w:rsidRPr="00DF2F0D" w:rsidRDefault="00C42631">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175,408.8</w:t>
            </w:r>
          </w:p>
        </w:tc>
        <w:tc>
          <w:tcPr>
            <w:tcW w:w="675" w:type="pct"/>
            <w:tcBorders>
              <w:top w:val="nil"/>
              <w:left w:val="nil"/>
              <w:bottom w:val="single" w:sz="4" w:space="0" w:color="auto"/>
              <w:right w:val="single" w:sz="4" w:space="0" w:color="auto"/>
            </w:tcBorders>
            <w:shd w:val="clear" w:color="auto" w:fill="auto"/>
            <w:vAlign w:val="center"/>
            <w:hideMark/>
          </w:tcPr>
          <w:p w:rsidR="00C42631" w:rsidRPr="00DF2F0D" w:rsidRDefault="000A02DD" w:rsidP="00394C7F">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18</w:t>
            </w:r>
            <w:r w:rsidR="00394C7F" w:rsidRPr="00DF2F0D">
              <w:rPr>
                <w:rFonts w:ascii="Candara" w:eastAsia="Times New Roman" w:hAnsi="Candara" w:cs="Times New Roman"/>
                <w:b/>
                <w:bCs/>
                <w:color w:val="000000"/>
                <w:kern w:val="0"/>
                <w:sz w:val="20"/>
                <w:szCs w:val="20"/>
                <w:lang w:val="es-ES_tradnl" w:eastAsia="es-MX" w:bidi="ar-SA"/>
              </w:rPr>
              <w:t>4,393.2</w:t>
            </w:r>
          </w:p>
        </w:tc>
        <w:tc>
          <w:tcPr>
            <w:tcW w:w="643" w:type="pct"/>
            <w:tcBorders>
              <w:top w:val="nil"/>
              <w:left w:val="nil"/>
              <w:bottom w:val="single" w:sz="4" w:space="0" w:color="auto"/>
              <w:right w:val="single" w:sz="4" w:space="0" w:color="auto"/>
            </w:tcBorders>
            <w:shd w:val="clear" w:color="auto" w:fill="auto"/>
            <w:vAlign w:val="center"/>
            <w:hideMark/>
          </w:tcPr>
          <w:p w:rsidR="00C42631" w:rsidRPr="00DF2F0D" w:rsidRDefault="000A02DD" w:rsidP="00F5722F">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175,163.4</w:t>
            </w:r>
          </w:p>
        </w:tc>
        <w:tc>
          <w:tcPr>
            <w:tcW w:w="676" w:type="pct"/>
            <w:tcBorders>
              <w:top w:val="nil"/>
              <w:left w:val="nil"/>
              <w:bottom w:val="single" w:sz="4" w:space="0" w:color="auto"/>
              <w:right w:val="single" w:sz="4" w:space="0" w:color="auto"/>
            </w:tcBorders>
            <w:vAlign w:val="center"/>
          </w:tcPr>
          <w:p w:rsidR="00C42631" w:rsidRPr="00DF2F0D" w:rsidRDefault="00394C7F" w:rsidP="00F5722F">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4.17</w:t>
            </w:r>
          </w:p>
        </w:tc>
        <w:tc>
          <w:tcPr>
            <w:tcW w:w="586" w:type="pct"/>
            <w:tcBorders>
              <w:top w:val="nil"/>
              <w:left w:val="nil"/>
              <w:bottom w:val="single" w:sz="4" w:space="0" w:color="auto"/>
              <w:right w:val="single" w:sz="4" w:space="0" w:color="auto"/>
            </w:tcBorders>
            <w:vAlign w:val="center"/>
          </w:tcPr>
          <w:p w:rsidR="00C42631" w:rsidRPr="00DF2F0D" w:rsidRDefault="0039095E" w:rsidP="00F5722F">
            <w:pPr>
              <w:widowControl/>
              <w:spacing w:line="240" w:lineRule="auto"/>
              <w:jc w:val="right"/>
              <w:rPr>
                <w:rFonts w:ascii="Candara" w:eastAsia="Times New Roman" w:hAnsi="Candara" w:cs="Times New Roman"/>
                <w:b/>
                <w:bCs/>
                <w:color w:val="000000"/>
                <w:kern w:val="0"/>
                <w:sz w:val="20"/>
                <w:szCs w:val="20"/>
                <w:lang w:val="es-ES_tradnl" w:eastAsia="es-MX" w:bidi="ar-SA"/>
              </w:rPr>
            </w:pPr>
            <w:r w:rsidRPr="00DF2F0D">
              <w:rPr>
                <w:rFonts w:ascii="Candara" w:eastAsia="Times New Roman" w:hAnsi="Candara" w:cs="Times New Roman"/>
                <w:b/>
                <w:bCs/>
                <w:color w:val="000000"/>
                <w:kern w:val="0"/>
                <w:sz w:val="20"/>
                <w:szCs w:val="20"/>
                <w:lang w:val="es-ES_tradnl" w:eastAsia="es-MX" w:bidi="ar-SA"/>
              </w:rPr>
              <w:t>-0.14</w:t>
            </w:r>
          </w:p>
        </w:tc>
      </w:tr>
    </w:tbl>
    <w:p w:rsidR="00667DF9" w:rsidRPr="00DF2F0D" w:rsidRDefault="00667DF9" w:rsidP="00667DF9">
      <w:pPr>
        <w:spacing w:line="240" w:lineRule="auto"/>
        <w:jc w:val="center"/>
        <w:rPr>
          <w:rFonts w:asciiTheme="minorHAnsi" w:hAnsiTheme="minorHAnsi"/>
          <w:b/>
          <w:sz w:val="22"/>
          <w:szCs w:val="22"/>
          <w:lang w:val="es-ES_tradnl"/>
        </w:rPr>
      </w:pPr>
    </w:p>
    <w:p w:rsidR="00667DF9" w:rsidRPr="00DF2F0D" w:rsidRDefault="00667DF9" w:rsidP="00667DF9">
      <w:pPr>
        <w:spacing w:line="240" w:lineRule="auto"/>
        <w:rPr>
          <w:rFonts w:ascii="Candara" w:hAnsi="Candara"/>
          <w:sz w:val="22"/>
          <w:szCs w:val="22"/>
          <w:lang w:val="es-ES_tradnl"/>
        </w:rPr>
      </w:pPr>
      <w:r w:rsidRPr="00DF2F0D">
        <w:rPr>
          <w:rFonts w:ascii="Candara" w:hAnsi="Candara"/>
          <w:sz w:val="22"/>
          <w:szCs w:val="22"/>
          <w:lang w:val="es-ES_tradnl"/>
        </w:rPr>
        <w:t xml:space="preserve">Como se puede observar en el cuadro anterior, el presupuesto programado en gasto corriente en el </w:t>
      </w:r>
      <w:r w:rsidR="0039095E" w:rsidRPr="00DF2F0D">
        <w:rPr>
          <w:rFonts w:ascii="Candara" w:hAnsi="Candara"/>
          <w:sz w:val="22"/>
          <w:szCs w:val="22"/>
          <w:lang w:val="es-ES_tradnl"/>
        </w:rPr>
        <w:t xml:space="preserve">periodo </w:t>
      </w:r>
      <w:r w:rsidRPr="00DF2F0D">
        <w:rPr>
          <w:rFonts w:ascii="Candara" w:hAnsi="Candara"/>
          <w:sz w:val="22"/>
          <w:szCs w:val="22"/>
          <w:lang w:val="es-ES_tradnl"/>
        </w:rPr>
        <w:t xml:space="preserve">2018, fue mayor en </w:t>
      </w:r>
      <w:r w:rsidR="00394C7F" w:rsidRPr="00DF2F0D">
        <w:rPr>
          <w:rFonts w:ascii="Candara" w:hAnsi="Candara"/>
          <w:sz w:val="22"/>
          <w:szCs w:val="22"/>
          <w:lang w:val="es-ES_tradnl"/>
        </w:rPr>
        <w:t>4.17</w:t>
      </w:r>
      <w:r w:rsidRPr="00DF2F0D">
        <w:rPr>
          <w:rFonts w:ascii="Candara" w:hAnsi="Candara"/>
          <w:sz w:val="22"/>
          <w:szCs w:val="22"/>
          <w:lang w:val="es-ES_tradnl"/>
        </w:rPr>
        <w:t xml:space="preserve">% en comparación con el </w:t>
      </w:r>
      <w:r w:rsidR="0039095E" w:rsidRPr="00DF2F0D">
        <w:rPr>
          <w:rFonts w:ascii="Candara" w:hAnsi="Candara"/>
          <w:sz w:val="22"/>
          <w:szCs w:val="22"/>
          <w:lang w:val="es-ES_tradnl"/>
        </w:rPr>
        <w:t xml:space="preserve">periodo </w:t>
      </w:r>
      <w:r w:rsidRPr="00DF2F0D">
        <w:rPr>
          <w:rFonts w:ascii="Candara" w:hAnsi="Candara"/>
          <w:sz w:val="22"/>
          <w:szCs w:val="22"/>
          <w:lang w:val="es-ES_tradnl"/>
        </w:rPr>
        <w:t xml:space="preserve">2017, se originó principalmente </w:t>
      </w:r>
      <w:r w:rsidR="005630BC" w:rsidRPr="00DF2F0D">
        <w:rPr>
          <w:rFonts w:ascii="Candara" w:hAnsi="Candara"/>
          <w:sz w:val="22"/>
          <w:szCs w:val="22"/>
          <w:lang w:val="es-ES_tradnl"/>
        </w:rPr>
        <w:t xml:space="preserve">por el </w:t>
      </w:r>
      <w:r w:rsidRPr="00DF2F0D">
        <w:rPr>
          <w:rFonts w:ascii="Candara" w:hAnsi="Candara"/>
          <w:sz w:val="22"/>
          <w:szCs w:val="22"/>
          <w:lang w:val="es-ES_tradnl"/>
        </w:rPr>
        <w:t>incremento en el capítulo 1000 de recursos fiscales</w:t>
      </w:r>
      <w:r w:rsidR="006C3FD7" w:rsidRPr="00DF2F0D">
        <w:rPr>
          <w:rFonts w:ascii="Candara" w:hAnsi="Candara"/>
          <w:sz w:val="22"/>
          <w:szCs w:val="22"/>
          <w:lang w:val="es-ES_tradnl"/>
        </w:rPr>
        <w:t xml:space="preserve"> y </w:t>
      </w:r>
      <w:r w:rsidR="00936819" w:rsidRPr="00DF2F0D">
        <w:rPr>
          <w:rFonts w:ascii="Candara" w:hAnsi="Candara"/>
          <w:sz w:val="22"/>
          <w:szCs w:val="22"/>
          <w:lang w:val="es-ES_tradnl"/>
        </w:rPr>
        <w:t xml:space="preserve">por </w:t>
      </w:r>
      <w:r w:rsidR="006C3FD7" w:rsidRPr="00DF2F0D">
        <w:rPr>
          <w:rFonts w:ascii="Candara" w:hAnsi="Candara"/>
          <w:sz w:val="22"/>
          <w:szCs w:val="22"/>
          <w:lang w:val="es-ES_tradnl"/>
        </w:rPr>
        <w:t>un monto mayor en el presupuesto del capítulo 3000 de recursos propios</w:t>
      </w:r>
      <w:r w:rsidRPr="00DF2F0D">
        <w:rPr>
          <w:rFonts w:ascii="Candara" w:hAnsi="Candara"/>
          <w:sz w:val="22"/>
          <w:szCs w:val="22"/>
          <w:lang w:val="es-ES_tradnl"/>
        </w:rPr>
        <w:t>.</w:t>
      </w:r>
    </w:p>
    <w:p w:rsidR="00667DF9" w:rsidRPr="00DF2F0D" w:rsidRDefault="00667DF9" w:rsidP="00667DF9">
      <w:pPr>
        <w:spacing w:line="240" w:lineRule="auto"/>
        <w:rPr>
          <w:rFonts w:ascii="Candara" w:hAnsi="Candara"/>
          <w:sz w:val="22"/>
          <w:szCs w:val="22"/>
          <w:lang w:val="es-ES_tradnl"/>
        </w:rPr>
      </w:pPr>
    </w:p>
    <w:p w:rsidR="00667DF9" w:rsidRPr="00DF2F0D" w:rsidRDefault="00667DF9" w:rsidP="00667DF9">
      <w:pPr>
        <w:spacing w:line="240" w:lineRule="auto"/>
        <w:rPr>
          <w:rFonts w:ascii="Candara" w:hAnsi="Candara"/>
          <w:sz w:val="22"/>
          <w:szCs w:val="22"/>
          <w:lang w:val="es-ES_tradnl"/>
        </w:rPr>
      </w:pPr>
      <w:r w:rsidRPr="00DF2F0D">
        <w:rPr>
          <w:rFonts w:ascii="Candara" w:hAnsi="Candara"/>
          <w:sz w:val="22"/>
          <w:szCs w:val="22"/>
          <w:lang w:val="es-ES_tradnl"/>
        </w:rPr>
        <w:t xml:space="preserve">El presupuesto ejercido en gasto corriente tuvo una disminución </w:t>
      </w:r>
      <w:r w:rsidR="006A3FA9" w:rsidRPr="00DF2F0D">
        <w:rPr>
          <w:rFonts w:ascii="Candara" w:hAnsi="Candara"/>
          <w:sz w:val="22"/>
          <w:szCs w:val="22"/>
          <w:lang w:val="es-ES_tradnl"/>
        </w:rPr>
        <w:t xml:space="preserve">mínima </w:t>
      </w:r>
      <w:r w:rsidRPr="00DF2F0D">
        <w:rPr>
          <w:rFonts w:ascii="Candara" w:hAnsi="Candara"/>
          <w:sz w:val="22"/>
          <w:szCs w:val="22"/>
          <w:lang w:val="es-ES_tradnl"/>
        </w:rPr>
        <w:t>de 0.</w:t>
      </w:r>
      <w:r w:rsidR="0039095E" w:rsidRPr="00DF2F0D">
        <w:rPr>
          <w:rFonts w:ascii="Candara" w:hAnsi="Candara"/>
          <w:sz w:val="22"/>
          <w:szCs w:val="22"/>
          <w:lang w:val="es-ES_tradnl"/>
        </w:rPr>
        <w:t>14</w:t>
      </w:r>
      <w:r w:rsidRPr="00DF2F0D">
        <w:rPr>
          <w:rFonts w:ascii="Candara" w:hAnsi="Candara"/>
          <w:b/>
          <w:sz w:val="22"/>
          <w:szCs w:val="22"/>
          <w:lang w:val="es-ES_tradnl"/>
        </w:rPr>
        <w:t>%</w:t>
      </w:r>
      <w:r w:rsidRPr="00DF2F0D">
        <w:rPr>
          <w:rFonts w:ascii="Candara" w:hAnsi="Candara"/>
          <w:sz w:val="22"/>
          <w:szCs w:val="22"/>
          <w:lang w:val="es-ES_tradnl"/>
        </w:rPr>
        <w:t xml:space="preserve"> comparado con el </w:t>
      </w:r>
      <w:r w:rsidR="0039095E" w:rsidRPr="00DF2F0D">
        <w:rPr>
          <w:rFonts w:ascii="Candara" w:hAnsi="Candara"/>
          <w:sz w:val="22"/>
          <w:szCs w:val="22"/>
          <w:lang w:val="es-ES_tradnl"/>
        </w:rPr>
        <w:t xml:space="preserve">periodo </w:t>
      </w:r>
      <w:r w:rsidRPr="00DF2F0D">
        <w:rPr>
          <w:rFonts w:ascii="Candara" w:hAnsi="Candara"/>
          <w:sz w:val="22"/>
          <w:szCs w:val="22"/>
          <w:lang w:val="es-ES_tradnl"/>
        </w:rPr>
        <w:t>de 2017, la cual se originó principalmente en gasto del capítulo 4000.</w:t>
      </w:r>
    </w:p>
    <w:p w:rsidR="00667DF9" w:rsidRPr="00DF2F0D" w:rsidRDefault="00667DF9" w:rsidP="00667DF9">
      <w:pPr>
        <w:spacing w:line="240" w:lineRule="auto"/>
        <w:rPr>
          <w:rFonts w:ascii="Candara" w:hAnsi="Candara"/>
          <w:sz w:val="22"/>
          <w:szCs w:val="22"/>
          <w:lang w:val="es-ES_tradnl"/>
        </w:rPr>
      </w:pPr>
    </w:p>
    <w:p w:rsidR="00667DF9" w:rsidRPr="00DF2F0D" w:rsidRDefault="00667DF9" w:rsidP="00667DF9">
      <w:pPr>
        <w:spacing w:line="240" w:lineRule="auto"/>
        <w:rPr>
          <w:rFonts w:ascii="Candara" w:hAnsi="Candara"/>
          <w:sz w:val="22"/>
          <w:szCs w:val="22"/>
          <w:lang w:val="es-ES_tradnl"/>
        </w:rPr>
      </w:pPr>
      <w:r w:rsidRPr="00DF2F0D">
        <w:rPr>
          <w:rFonts w:ascii="Candara" w:hAnsi="Candara"/>
          <w:sz w:val="22"/>
          <w:szCs w:val="22"/>
          <w:lang w:val="es-ES_tradnl"/>
        </w:rPr>
        <w:t xml:space="preserve">Durante el </w:t>
      </w:r>
      <w:r w:rsidR="006A3FA9" w:rsidRPr="00DF2F0D">
        <w:rPr>
          <w:rFonts w:ascii="Candara" w:hAnsi="Candara"/>
          <w:sz w:val="22"/>
          <w:szCs w:val="22"/>
          <w:lang w:val="es-ES_tradnl"/>
        </w:rPr>
        <w:t>periodo enero-</w:t>
      </w:r>
      <w:r w:rsidR="006B2D25" w:rsidRPr="00DF2F0D">
        <w:rPr>
          <w:rFonts w:ascii="Candara" w:hAnsi="Candara"/>
          <w:sz w:val="22"/>
          <w:szCs w:val="22"/>
          <w:lang w:val="es-ES_tradnl"/>
        </w:rPr>
        <w:t>junio</w:t>
      </w:r>
      <w:r w:rsidRPr="00DF2F0D">
        <w:rPr>
          <w:rFonts w:ascii="Candara" w:hAnsi="Candara"/>
          <w:sz w:val="22"/>
          <w:szCs w:val="22"/>
          <w:lang w:val="es-ES_tradnl"/>
        </w:rPr>
        <w:t xml:space="preserve"> 2018 </w:t>
      </w:r>
      <w:r w:rsidR="006A3FA9" w:rsidRPr="00DF2F0D">
        <w:rPr>
          <w:rFonts w:ascii="Candara" w:hAnsi="Candara"/>
          <w:sz w:val="22"/>
          <w:szCs w:val="22"/>
          <w:lang w:val="es-ES_tradnl"/>
        </w:rPr>
        <w:t xml:space="preserve">y 2017 </w:t>
      </w:r>
      <w:r w:rsidRPr="00DF2F0D">
        <w:rPr>
          <w:rFonts w:ascii="Candara" w:hAnsi="Candara"/>
          <w:sz w:val="22"/>
          <w:szCs w:val="22"/>
          <w:lang w:val="es-ES_tradnl"/>
        </w:rPr>
        <w:t xml:space="preserve">no se </w:t>
      </w:r>
      <w:r w:rsidR="006A3FA9" w:rsidRPr="00DF2F0D">
        <w:rPr>
          <w:rFonts w:ascii="Candara" w:hAnsi="Candara"/>
          <w:sz w:val="22"/>
          <w:szCs w:val="22"/>
          <w:lang w:val="es-ES_tradnl"/>
        </w:rPr>
        <w:t>tiene presupuesto aprobado para inversión</w:t>
      </w:r>
      <w:r w:rsidRPr="00DF2F0D">
        <w:rPr>
          <w:rFonts w:ascii="Candara" w:hAnsi="Candara"/>
          <w:sz w:val="22"/>
          <w:szCs w:val="22"/>
          <w:lang w:val="es-ES_tradnl"/>
        </w:rPr>
        <w:t>.</w:t>
      </w:r>
    </w:p>
    <w:p w:rsidR="00667DF9" w:rsidRPr="00DF2F0D" w:rsidRDefault="00667DF9" w:rsidP="00667DF9">
      <w:pPr>
        <w:rPr>
          <w:lang w:val="es-ES_tradnl"/>
        </w:rPr>
      </w:pPr>
    </w:p>
    <w:p w:rsidR="003B5A56" w:rsidRPr="00DF2F0D" w:rsidRDefault="003B5A56" w:rsidP="00C05135">
      <w:pPr>
        <w:spacing w:line="240" w:lineRule="auto"/>
        <w:rPr>
          <w:rFonts w:ascii="Candara" w:hAnsi="Candara"/>
          <w:b/>
          <w:sz w:val="24"/>
          <w:szCs w:val="22"/>
          <w:lang w:val="es-ES_tradnl"/>
        </w:rPr>
      </w:pPr>
    </w:p>
    <w:p w:rsidR="00667DF9" w:rsidRPr="00DF2F0D" w:rsidRDefault="00667DF9" w:rsidP="00C05135">
      <w:pPr>
        <w:spacing w:line="240" w:lineRule="auto"/>
        <w:rPr>
          <w:rFonts w:ascii="Candara" w:hAnsi="Candara"/>
          <w:b/>
          <w:sz w:val="24"/>
          <w:szCs w:val="22"/>
          <w:lang w:val="es-ES_tradnl"/>
        </w:rPr>
      </w:pPr>
    </w:p>
    <w:p w:rsidR="00FD2BEA" w:rsidRPr="00DF2F0D" w:rsidRDefault="00FD2BEA" w:rsidP="00C05135">
      <w:pPr>
        <w:spacing w:line="240" w:lineRule="auto"/>
        <w:rPr>
          <w:rFonts w:ascii="Candara" w:hAnsi="Candara"/>
          <w:b/>
          <w:sz w:val="24"/>
          <w:szCs w:val="22"/>
          <w:lang w:val="es-ES_tradnl"/>
        </w:rPr>
      </w:pPr>
    </w:p>
    <w:p w:rsidR="00FD2BEA" w:rsidRPr="00DF2F0D" w:rsidRDefault="00FD2BEA" w:rsidP="00C05135">
      <w:pPr>
        <w:spacing w:line="240" w:lineRule="auto"/>
        <w:rPr>
          <w:rFonts w:ascii="Candara" w:hAnsi="Candara"/>
          <w:b/>
          <w:sz w:val="24"/>
          <w:szCs w:val="22"/>
          <w:lang w:val="es-ES_tradnl"/>
        </w:rPr>
      </w:pPr>
    </w:p>
    <w:p w:rsidR="00667DF9" w:rsidRPr="00DF2F0D" w:rsidRDefault="00667DF9" w:rsidP="00C05135">
      <w:pPr>
        <w:spacing w:line="240" w:lineRule="auto"/>
        <w:rPr>
          <w:rFonts w:ascii="Candara" w:hAnsi="Candara"/>
          <w:b/>
          <w:sz w:val="24"/>
          <w:szCs w:val="22"/>
          <w:lang w:val="es-ES_tradnl"/>
        </w:rPr>
      </w:pPr>
    </w:p>
    <w:p w:rsidR="003A5FB2" w:rsidRPr="00DF2F0D" w:rsidRDefault="003A5FB2" w:rsidP="00C05135">
      <w:pPr>
        <w:spacing w:line="240" w:lineRule="auto"/>
        <w:rPr>
          <w:rFonts w:ascii="Candara" w:hAnsi="Candara"/>
          <w:b/>
          <w:sz w:val="24"/>
          <w:szCs w:val="22"/>
          <w:lang w:val="es-ES_tradnl"/>
        </w:rPr>
      </w:pPr>
    </w:p>
    <w:p w:rsidR="00835F6A" w:rsidRPr="00DF2F0D" w:rsidRDefault="00835F6A" w:rsidP="00835F6A">
      <w:pPr>
        <w:spacing w:line="240" w:lineRule="auto"/>
        <w:rPr>
          <w:rFonts w:ascii="Candara" w:hAnsi="Candara"/>
          <w:b/>
          <w:sz w:val="24"/>
          <w:szCs w:val="22"/>
          <w:lang w:val="es-ES_tradnl"/>
        </w:rPr>
      </w:pPr>
      <w:r w:rsidRPr="00DF2F0D">
        <w:rPr>
          <w:rFonts w:ascii="Candara" w:hAnsi="Candara"/>
          <w:b/>
          <w:sz w:val="24"/>
          <w:szCs w:val="22"/>
          <w:lang w:val="es-ES_tradnl"/>
        </w:rPr>
        <w:t>Recursos de Fondos en Administración ECOSUR 2018 (enero–</w:t>
      </w:r>
      <w:r w:rsidR="006B2D25" w:rsidRPr="00DF2F0D">
        <w:rPr>
          <w:rFonts w:ascii="Candara" w:hAnsi="Candara"/>
          <w:b/>
          <w:sz w:val="24"/>
          <w:szCs w:val="22"/>
          <w:lang w:val="es-ES_tradnl"/>
        </w:rPr>
        <w:t>junio</w:t>
      </w:r>
      <w:r w:rsidRPr="00DF2F0D">
        <w:rPr>
          <w:rFonts w:ascii="Candara" w:hAnsi="Candara"/>
          <w:b/>
          <w:sz w:val="24"/>
          <w:szCs w:val="22"/>
          <w:lang w:val="es-ES_tradnl"/>
        </w:rPr>
        <w:t>).</w:t>
      </w:r>
    </w:p>
    <w:p w:rsidR="00835F6A" w:rsidRPr="00DF2F0D" w:rsidRDefault="00835F6A" w:rsidP="00835F6A">
      <w:pPr>
        <w:spacing w:line="240" w:lineRule="auto"/>
        <w:ind w:firstLine="708"/>
        <w:rPr>
          <w:rFonts w:asciiTheme="minorHAnsi" w:eastAsia="SimSun" w:hAnsiTheme="minorHAnsi" w:cs="Arial"/>
          <w:sz w:val="22"/>
          <w:szCs w:val="22"/>
          <w:lang w:val="es-ES_tradnl"/>
        </w:rPr>
      </w:pPr>
    </w:p>
    <w:p w:rsidR="00835F6A" w:rsidRPr="00DF2F0D" w:rsidRDefault="00835F6A" w:rsidP="00835F6A">
      <w:pPr>
        <w:spacing w:line="240" w:lineRule="auto"/>
        <w:rPr>
          <w:rFonts w:ascii="Candara" w:eastAsia="SimSun" w:hAnsi="Candara" w:cs="Arial"/>
          <w:sz w:val="22"/>
          <w:szCs w:val="22"/>
          <w:lang w:val="es-ES_tradnl"/>
        </w:rPr>
      </w:pPr>
      <w:r w:rsidRPr="00DF2F0D">
        <w:rPr>
          <w:rFonts w:ascii="Candara" w:eastAsia="SimSun" w:hAnsi="Candara" w:cs="Arial"/>
          <w:sz w:val="22"/>
          <w:szCs w:val="22"/>
          <w:lang w:val="es-ES_tradnl"/>
        </w:rPr>
        <w:t>Los recursos denominados Fondos en Administración no forman parte del presupuesto de ECOSUR, ya que representan los recursos propiedad de terceros que se otorgan al Centro por medio de convenios para la administración y ejecución de proyectos de investigación.</w:t>
      </w:r>
    </w:p>
    <w:p w:rsidR="00835F6A" w:rsidRPr="00DF2F0D" w:rsidRDefault="00835F6A" w:rsidP="00835F6A">
      <w:pPr>
        <w:spacing w:line="240" w:lineRule="auto"/>
        <w:ind w:firstLine="708"/>
        <w:rPr>
          <w:rFonts w:ascii="Candara" w:eastAsia="SimSun" w:hAnsi="Candara" w:cs="Arial"/>
          <w:sz w:val="22"/>
          <w:szCs w:val="22"/>
          <w:lang w:val="es-ES_tradnl"/>
        </w:rPr>
      </w:pPr>
    </w:p>
    <w:p w:rsidR="00835F6A" w:rsidRPr="00DF2F0D" w:rsidRDefault="00835F6A" w:rsidP="00835F6A">
      <w:pPr>
        <w:spacing w:line="240" w:lineRule="auto"/>
        <w:rPr>
          <w:rFonts w:ascii="Candara" w:eastAsia="SimSun" w:hAnsi="Candara" w:cs="Arial"/>
          <w:sz w:val="22"/>
          <w:szCs w:val="22"/>
          <w:lang w:val="es-ES_tradnl"/>
        </w:rPr>
      </w:pPr>
      <w:r w:rsidRPr="00DF2F0D">
        <w:rPr>
          <w:rFonts w:ascii="Candara" w:eastAsia="SimSun" w:hAnsi="Candara" w:cs="Arial"/>
          <w:sz w:val="22"/>
          <w:szCs w:val="22"/>
          <w:lang w:val="es-ES_tradnl"/>
        </w:rPr>
        <w:t>Estos recursos son registrados en cuentas de balance, su control es de entradas y salidas de recursos. Cabe mencionar que al término de la vigencia los recursos aún disponibles deberán ser reintegrados a la fuente de financiamiento, tal y como se estipula en su convenio.</w:t>
      </w:r>
    </w:p>
    <w:p w:rsidR="00835F6A" w:rsidRPr="00DF2F0D" w:rsidRDefault="00835F6A" w:rsidP="00835F6A">
      <w:pPr>
        <w:spacing w:line="240" w:lineRule="auto"/>
        <w:ind w:firstLine="708"/>
        <w:rPr>
          <w:rFonts w:ascii="Candara" w:eastAsia="SimSun" w:hAnsi="Candara" w:cs="Arial"/>
          <w:sz w:val="22"/>
          <w:szCs w:val="22"/>
          <w:lang w:val="es-ES_tradnl"/>
        </w:rPr>
      </w:pPr>
    </w:p>
    <w:p w:rsidR="008F4558" w:rsidRPr="00DF2F0D" w:rsidRDefault="00835F6A" w:rsidP="00835F6A">
      <w:pPr>
        <w:spacing w:line="240" w:lineRule="auto"/>
        <w:rPr>
          <w:rFonts w:asciiTheme="minorHAnsi" w:eastAsiaTheme="minorHAnsi" w:hAnsiTheme="minorHAnsi" w:cstheme="minorBidi"/>
          <w:kern w:val="0"/>
          <w:sz w:val="22"/>
          <w:szCs w:val="22"/>
          <w:lang w:val="es-ES_tradnl" w:eastAsia="en-US" w:bidi="ar-SA"/>
        </w:rPr>
      </w:pPr>
      <w:r w:rsidRPr="00DF2F0D">
        <w:rPr>
          <w:rFonts w:ascii="Candara" w:eastAsia="SimSun" w:hAnsi="Candara" w:cs="Arial"/>
          <w:sz w:val="22"/>
          <w:szCs w:val="22"/>
          <w:lang w:val="es-ES_tradnl"/>
        </w:rPr>
        <w:t xml:space="preserve">Al </w:t>
      </w:r>
      <w:r w:rsidR="008F4558" w:rsidRPr="00DF2F0D">
        <w:rPr>
          <w:rFonts w:ascii="Candara" w:eastAsia="SimSun" w:hAnsi="Candara" w:cs="Arial"/>
          <w:sz w:val="22"/>
          <w:szCs w:val="22"/>
          <w:lang w:val="es-ES_tradnl"/>
        </w:rPr>
        <w:t>inicio del ejercicio 201</w:t>
      </w:r>
      <w:r w:rsidR="00180C1D" w:rsidRPr="00DF2F0D">
        <w:rPr>
          <w:rFonts w:ascii="Candara" w:eastAsia="SimSun" w:hAnsi="Candara" w:cs="Arial"/>
          <w:sz w:val="22"/>
          <w:szCs w:val="22"/>
          <w:lang w:val="es-ES_tradnl"/>
        </w:rPr>
        <w:t>8</w:t>
      </w:r>
      <w:r w:rsidR="008F4558" w:rsidRPr="00DF2F0D">
        <w:rPr>
          <w:rFonts w:ascii="Candara" w:eastAsia="SimSun" w:hAnsi="Candara" w:cs="Arial"/>
          <w:sz w:val="22"/>
          <w:szCs w:val="22"/>
          <w:lang w:val="es-ES_tradnl"/>
        </w:rPr>
        <w:t xml:space="preserve"> se tenían registrados </w:t>
      </w:r>
      <w:r w:rsidRPr="00DF2F0D">
        <w:rPr>
          <w:rFonts w:ascii="Candara" w:eastAsia="SimSun" w:hAnsi="Candara" w:cs="Arial"/>
          <w:sz w:val="22"/>
          <w:szCs w:val="22"/>
          <w:lang w:val="es-ES_tradnl"/>
        </w:rPr>
        <w:t xml:space="preserve">14 proyectos de fondos en administración </w:t>
      </w:r>
      <w:r w:rsidR="008F4558" w:rsidRPr="00DF2F0D">
        <w:rPr>
          <w:rFonts w:ascii="Candara" w:eastAsia="SimSun" w:hAnsi="Candara" w:cs="Arial"/>
          <w:sz w:val="22"/>
          <w:szCs w:val="22"/>
          <w:lang w:val="es-ES_tradnl"/>
        </w:rPr>
        <w:t xml:space="preserve">con vigencia hasta </w:t>
      </w:r>
      <w:r w:rsidRPr="00DF2F0D">
        <w:rPr>
          <w:rFonts w:ascii="Candara" w:eastAsia="SimSun" w:hAnsi="Candara" w:cs="Arial"/>
          <w:sz w:val="22"/>
          <w:szCs w:val="22"/>
          <w:lang w:val="es-ES_tradnl"/>
        </w:rPr>
        <w:t xml:space="preserve">el ejercicio 2020. </w:t>
      </w:r>
      <w:r w:rsidR="008F4558" w:rsidRPr="00DF2F0D">
        <w:rPr>
          <w:rFonts w:asciiTheme="minorHAnsi" w:eastAsiaTheme="minorHAnsi" w:hAnsiTheme="minorHAnsi" w:cstheme="minorBidi"/>
          <w:kern w:val="0"/>
          <w:sz w:val="22"/>
          <w:szCs w:val="22"/>
          <w:lang w:val="es-ES_tradnl" w:eastAsia="en-US" w:bidi="ar-SA"/>
        </w:rPr>
        <w:t xml:space="preserve">Durante el periodo enero a </w:t>
      </w:r>
      <w:r w:rsidR="00180C1D" w:rsidRPr="00DF2F0D">
        <w:rPr>
          <w:rFonts w:asciiTheme="minorHAnsi" w:eastAsiaTheme="minorHAnsi" w:hAnsiTheme="minorHAnsi" w:cstheme="minorBidi"/>
          <w:kern w:val="0"/>
          <w:sz w:val="22"/>
          <w:szCs w:val="22"/>
          <w:lang w:val="es-ES_tradnl" w:eastAsia="en-US" w:bidi="ar-SA"/>
        </w:rPr>
        <w:t>junio</w:t>
      </w:r>
      <w:r w:rsidR="008F4558" w:rsidRPr="00DF2F0D">
        <w:rPr>
          <w:rFonts w:asciiTheme="minorHAnsi" w:eastAsiaTheme="minorHAnsi" w:hAnsiTheme="minorHAnsi" w:cstheme="minorBidi"/>
          <w:kern w:val="0"/>
          <w:sz w:val="22"/>
          <w:szCs w:val="22"/>
          <w:lang w:val="es-ES_tradnl" w:eastAsia="en-US" w:bidi="ar-SA"/>
        </w:rPr>
        <w:t xml:space="preserve"> de 2018 se tuvieron </w:t>
      </w:r>
      <w:r w:rsidR="009A45BB" w:rsidRPr="00DF2F0D">
        <w:rPr>
          <w:rFonts w:asciiTheme="minorHAnsi" w:eastAsiaTheme="minorHAnsi" w:hAnsiTheme="minorHAnsi" w:cstheme="minorBidi"/>
          <w:kern w:val="0"/>
          <w:sz w:val="22"/>
          <w:szCs w:val="22"/>
          <w:lang w:val="es-ES_tradnl" w:eastAsia="en-US" w:bidi="ar-SA"/>
        </w:rPr>
        <w:t>nueve pro</w:t>
      </w:r>
      <w:r w:rsidR="008F4558" w:rsidRPr="00DF2F0D">
        <w:rPr>
          <w:rFonts w:asciiTheme="minorHAnsi" w:eastAsiaTheme="minorHAnsi" w:hAnsiTheme="minorHAnsi" w:cstheme="minorBidi"/>
          <w:kern w:val="0"/>
          <w:sz w:val="22"/>
          <w:szCs w:val="22"/>
          <w:lang w:val="es-ES_tradnl" w:eastAsia="en-US" w:bidi="ar-SA"/>
        </w:rPr>
        <w:t xml:space="preserve">yectos nuevos y concluyeron dos en el periodo, que son los siguientes: </w:t>
      </w:r>
    </w:p>
    <w:p w:rsidR="008F4558" w:rsidRPr="00DF2F0D" w:rsidRDefault="008F4558" w:rsidP="00835F6A">
      <w:pPr>
        <w:spacing w:line="240" w:lineRule="auto"/>
        <w:rPr>
          <w:rFonts w:asciiTheme="minorHAnsi" w:eastAsiaTheme="minorHAnsi" w:hAnsiTheme="minorHAnsi" w:cstheme="minorBidi"/>
          <w:kern w:val="0"/>
          <w:sz w:val="22"/>
          <w:szCs w:val="22"/>
          <w:lang w:val="es-ES_tradnl" w:eastAsia="en-US" w:bidi="ar-SA"/>
        </w:rPr>
      </w:pPr>
    </w:p>
    <w:p w:rsidR="008F4558" w:rsidRPr="00DF2F0D" w:rsidRDefault="008F4558" w:rsidP="008F4558">
      <w:pPr>
        <w:widowControl/>
        <w:numPr>
          <w:ilvl w:val="0"/>
          <w:numId w:val="16"/>
        </w:numPr>
        <w:spacing w:after="200" w:line="240" w:lineRule="auto"/>
        <w:contextualSpacing/>
        <w:jc w:val="left"/>
        <w:rPr>
          <w:rFonts w:asciiTheme="minorHAnsi" w:eastAsiaTheme="minorHAnsi" w:hAnsiTheme="minorHAnsi" w:cstheme="minorBidi"/>
          <w:kern w:val="0"/>
          <w:sz w:val="22"/>
          <w:szCs w:val="22"/>
          <w:lang w:val="es-ES_tradnl" w:eastAsia="en-US" w:bidi="ar-SA"/>
        </w:rPr>
      </w:pPr>
      <w:r w:rsidRPr="00DF2F0D">
        <w:rPr>
          <w:rFonts w:asciiTheme="minorHAnsi" w:eastAsiaTheme="minorHAnsi" w:hAnsiTheme="minorHAnsi" w:cstheme="minorBidi"/>
          <w:kern w:val="0"/>
          <w:sz w:val="22"/>
          <w:szCs w:val="22"/>
          <w:lang w:val="es-ES_tradnl" w:eastAsia="en-US" w:bidi="ar-SA"/>
        </w:rPr>
        <w:t>Innovación en empresas sociales para contribuir a su fortalecimiento: el caso de la Federación Indígena Ecológica de Chiapas.</w:t>
      </w:r>
    </w:p>
    <w:p w:rsidR="008F4558" w:rsidRPr="00DF2F0D" w:rsidRDefault="008F4558" w:rsidP="008F4558">
      <w:pPr>
        <w:widowControl/>
        <w:numPr>
          <w:ilvl w:val="0"/>
          <w:numId w:val="16"/>
        </w:numPr>
        <w:spacing w:after="200" w:line="240" w:lineRule="auto"/>
        <w:contextualSpacing/>
        <w:jc w:val="left"/>
        <w:rPr>
          <w:rFonts w:asciiTheme="minorHAnsi" w:eastAsiaTheme="minorHAnsi" w:hAnsiTheme="minorHAnsi" w:cstheme="minorBidi"/>
          <w:kern w:val="0"/>
          <w:sz w:val="22"/>
          <w:szCs w:val="22"/>
          <w:lang w:val="es-ES_tradnl" w:eastAsia="en-US" w:bidi="ar-SA"/>
        </w:rPr>
      </w:pPr>
      <w:r w:rsidRPr="00DF2F0D">
        <w:rPr>
          <w:rFonts w:asciiTheme="minorHAnsi" w:eastAsiaTheme="minorHAnsi" w:hAnsiTheme="minorHAnsi" w:cstheme="minorBidi"/>
          <w:kern w:val="0"/>
          <w:sz w:val="22"/>
          <w:szCs w:val="22"/>
          <w:lang w:val="es-ES_tradnl" w:eastAsia="en-US" w:bidi="ar-SA"/>
        </w:rPr>
        <w:t xml:space="preserve">Transporte de nutrientes por los ríos Grijalva-Usumacinta al Golfo de México.                                                                                                                                                                                                                                                   </w:t>
      </w:r>
    </w:p>
    <w:p w:rsidR="008F4558" w:rsidRPr="00DF2F0D" w:rsidRDefault="008F4558" w:rsidP="00835F6A">
      <w:pPr>
        <w:spacing w:line="240" w:lineRule="auto"/>
        <w:rPr>
          <w:rFonts w:asciiTheme="minorHAnsi" w:eastAsiaTheme="minorHAnsi" w:hAnsiTheme="minorHAnsi" w:cstheme="minorBidi"/>
          <w:kern w:val="0"/>
          <w:sz w:val="22"/>
          <w:szCs w:val="22"/>
          <w:lang w:val="es-ES_tradnl" w:eastAsia="en-US" w:bidi="ar-SA"/>
        </w:rPr>
      </w:pPr>
    </w:p>
    <w:p w:rsidR="008F4558" w:rsidRPr="00DF2F0D" w:rsidRDefault="008F4558" w:rsidP="00835F6A">
      <w:pPr>
        <w:spacing w:line="240" w:lineRule="auto"/>
        <w:rPr>
          <w:rFonts w:asciiTheme="minorHAnsi" w:eastAsiaTheme="minorHAnsi" w:hAnsiTheme="minorHAnsi" w:cstheme="minorBidi"/>
          <w:kern w:val="0"/>
          <w:sz w:val="22"/>
          <w:szCs w:val="22"/>
          <w:lang w:val="es-ES_tradnl" w:eastAsia="en-US" w:bidi="ar-SA"/>
        </w:rPr>
      </w:pPr>
    </w:p>
    <w:p w:rsidR="00835F6A" w:rsidRPr="00DF2F0D" w:rsidRDefault="00835F6A" w:rsidP="00835F6A">
      <w:pPr>
        <w:spacing w:line="240" w:lineRule="auto"/>
        <w:rPr>
          <w:rFonts w:ascii="Candara" w:eastAsia="SimSun" w:hAnsi="Candara" w:cs="Arial"/>
          <w:sz w:val="22"/>
          <w:szCs w:val="22"/>
          <w:lang w:val="es-ES_tradnl"/>
        </w:rPr>
      </w:pPr>
      <w:r w:rsidRPr="00DF2F0D">
        <w:rPr>
          <w:rFonts w:ascii="Candara" w:eastAsia="SimSun" w:hAnsi="Candara" w:cs="Arial"/>
          <w:sz w:val="22"/>
          <w:szCs w:val="22"/>
          <w:lang w:val="es-ES_tradnl"/>
        </w:rPr>
        <w:t xml:space="preserve">El financiamiento proviene de fondos del CONACyT y de fondos sectoriales y mixtos. El monto aprobado de estos proyectos </w:t>
      </w:r>
      <w:r w:rsidR="00007A56" w:rsidRPr="00DF2F0D">
        <w:rPr>
          <w:rFonts w:ascii="Candara" w:eastAsia="SimSun" w:hAnsi="Candara" w:cs="Arial"/>
          <w:sz w:val="22"/>
          <w:szCs w:val="22"/>
          <w:lang w:val="es-ES_tradnl"/>
        </w:rPr>
        <w:t xml:space="preserve">vigentes </w:t>
      </w:r>
      <w:r w:rsidRPr="00DF2F0D">
        <w:rPr>
          <w:rFonts w:ascii="Candara" w:eastAsia="SimSun" w:hAnsi="Candara" w:cs="Arial"/>
          <w:sz w:val="22"/>
          <w:szCs w:val="22"/>
          <w:lang w:val="es-ES_tradnl"/>
        </w:rPr>
        <w:t xml:space="preserve">al cierre del periodo alcanzó un importe de </w:t>
      </w:r>
      <w:r w:rsidR="009A45BB" w:rsidRPr="00DF2F0D">
        <w:rPr>
          <w:rFonts w:ascii="Candara" w:eastAsia="SimSun" w:hAnsi="Candara" w:cs="Arial"/>
          <w:sz w:val="22"/>
          <w:szCs w:val="22"/>
          <w:lang w:val="es-ES_tradnl"/>
        </w:rPr>
        <w:t>42,937.3</w:t>
      </w:r>
      <w:r w:rsidRPr="00DF2F0D">
        <w:rPr>
          <w:rFonts w:ascii="Candara" w:eastAsia="SimSun" w:hAnsi="Candara" w:cs="Arial"/>
          <w:sz w:val="22"/>
          <w:szCs w:val="22"/>
          <w:lang w:val="es-ES_tradnl"/>
        </w:rPr>
        <w:t xml:space="preserve"> miles de pesos, de los cuales de 2015 al 3</w:t>
      </w:r>
      <w:r w:rsidR="009A45BB" w:rsidRPr="00DF2F0D">
        <w:rPr>
          <w:rFonts w:ascii="Candara" w:eastAsia="SimSun" w:hAnsi="Candara" w:cs="Arial"/>
          <w:sz w:val="22"/>
          <w:szCs w:val="22"/>
          <w:lang w:val="es-ES_tradnl"/>
        </w:rPr>
        <w:t>0</w:t>
      </w:r>
      <w:r w:rsidRPr="00DF2F0D">
        <w:rPr>
          <w:rFonts w:ascii="Candara" w:eastAsia="SimSun" w:hAnsi="Candara" w:cs="Arial"/>
          <w:sz w:val="22"/>
          <w:szCs w:val="22"/>
          <w:lang w:val="es-ES_tradnl"/>
        </w:rPr>
        <w:t xml:space="preserve"> de </w:t>
      </w:r>
      <w:r w:rsidR="009A45BB" w:rsidRPr="00DF2F0D">
        <w:rPr>
          <w:rFonts w:ascii="Candara" w:eastAsia="SimSun" w:hAnsi="Candara" w:cs="Arial"/>
          <w:sz w:val="22"/>
          <w:szCs w:val="22"/>
          <w:lang w:val="es-ES_tradnl"/>
        </w:rPr>
        <w:t>junio</w:t>
      </w:r>
      <w:r w:rsidRPr="00DF2F0D">
        <w:rPr>
          <w:rFonts w:ascii="Candara" w:eastAsia="SimSun" w:hAnsi="Candara" w:cs="Arial"/>
          <w:sz w:val="22"/>
          <w:szCs w:val="22"/>
          <w:lang w:val="es-ES_tradnl"/>
        </w:rPr>
        <w:t xml:space="preserve"> de 2018 han </w:t>
      </w:r>
      <w:r w:rsidR="009A45BB" w:rsidRPr="00DF2F0D">
        <w:rPr>
          <w:rFonts w:ascii="Candara" w:eastAsia="SimSun" w:hAnsi="Candara" w:cs="Arial"/>
          <w:sz w:val="22"/>
          <w:szCs w:val="22"/>
          <w:lang w:val="es-ES_tradnl"/>
        </w:rPr>
        <w:t xml:space="preserve">registrado entradas por </w:t>
      </w:r>
      <w:r w:rsidRPr="00DF2F0D">
        <w:rPr>
          <w:rFonts w:ascii="Candara" w:eastAsia="SimSun" w:hAnsi="Candara" w:cs="Arial"/>
          <w:sz w:val="22"/>
          <w:szCs w:val="22"/>
          <w:lang w:val="es-ES_tradnl"/>
        </w:rPr>
        <w:t xml:space="preserve">la cantidad de </w:t>
      </w:r>
      <w:r w:rsidR="009A45BB" w:rsidRPr="00DF2F0D">
        <w:rPr>
          <w:rFonts w:ascii="Candara" w:eastAsia="SimSun" w:hAnsi="Candara" w:cs="Arial"/>
          <w:sz w:val="22"/>
          <w:szCs w:val="22"/>
          <w:lang w:val="es-ES_tradnl"/>
        </w:rPr>
        <w:t>35,475.2</w:t>
      </w:r>
      <w:r w:rsidRPr="00DF2F0D">
        <w:rPr>
          <w:rFonts w:ascii="Candara" w:eastAsia="SimSun" w:hAnsi="Candara" w:cs="Arial"/>
          <w:sz w:val="22"/>
          <w:szCs w:val="22"/>
          <w:lang w:val="es-ES_tradnl"/>
        </w:rPr>
        <w:t xml:space="preserve"> miles de pesos</w:t>
      </w:r>
      <w:r w:rsidR="009A45BB" w:rsidRPr="00DF2F0D">
        <w:rPr>
          <w:rFonts w:ascii="Candara" w:eastAsia="SimSun" w:hAnsi="Candara" w:cs="Arial"/>
          <w:sz w:val="22"/>
          <w:szCs w:val="22"/>
          <w:lang w:val="es-ES_tradnl"/>
        </w:rPr>
        <w:t xml:space="preserve"> y salidas por </w:t>
      </w:r>
      <w:r w:rsidRPr="00DF2F0D">
        <w:rPr>
          <w:rFonts w:ascii="Candara" w:eastAsia="SimSun" w:hAnsi="Candara" w:cs="Arial"/>
          <w:sz w:val="22"/>
          <w:szCs w:val="22"/>
          <w:lang w:val="es-ES_tradnl"/>
        </w:rPr>
        <w:t>la cantidad de 1</w:t>
      </w:r>
      <w:r w:rsidR="009A45BB" w:rsidRPr="00DF2F0D">
        <w:rPr>
          <w:rFonts w:ascii="Candara" w:eastAsia="SimSun" w:hAnsi="Candara" w:cs="Arial"/>
          <w:sz w:val="22"/>
          <w:szCs w:val="22"/>
          <w:lang w:val="es-ES_tradnl"/>
        </w:rPr>
        <w:t>8,967.1</w:t>
      </w:r>
      <w:r w:rsidRPr="00DF2F0D">
        <w:rPr>
          <w:rFonts w:ascii="Candara" w:eastAsia="SimSun" w:hAnsi="Candara" w:cs="Arial"/>
          <w:sz w:val="22"/>
          <w:szCs w:val="22"/>
          <w:lang w:val="es-ES_tradnl"/>
        </w:rPr>
        <w:t xml:space="preserve"> miles de pesos, originándose una disponibilidad de </w:t>
      </w:r>
      <w:r w:rsidR="009A45BB" w:rsidRPr="00DF2F0D">
        <w:rPr>
          <w:rFonts w:ascii="Candara" w:eastAsia="SimSun" w:hAnsi="Candara" w:cs="Arial"/>
          <w:sz w:val="22"/>
          <w:szCs w:val="22"/>
          <w:lang w:val="es-ES_tradnl"/>
        </w:rPr>
        <w:t>16</w:t>
      </w:r>
      <w:r w:rsidR="00282EB9" w:rsidRPr="00DF2F0D">
        <w:rPr>
          <w:rFonts w:ascii="Candara" w:eastAsia="SimSun" w:hAnsi="Candara" w:cs="Arial"/>
          <w:sz w:val="22"/>
          <w:szCs w:val="22"/>
          <w:lang w:val="es-ES_tradnl"/>
        </w:rPr>
        <w:t>,508.1</w:t>
      </w:r>
      <w:r w:rsidRPr="00DF2F0D">
        <w:rPr>
          <w:rFonts w:ascii="Candara" w:eastAsia="SimSun" w:hAnsi="Candara" w:cs="Arial"/>
          <w:sz w:val="22"/>
          <w:szCs w:val="22"/>
          <w:lang w:val="es-ES_tradnl"/>
        </w:rPr>
        <w:t xml:space="preserve"> miles de pesos.</w:t>
      </w:r>
    </w:p>
    <w:p w:rsidR="00835F6A" w:rsidRPr="00DF2F0D" w:rsidRDefault="00835F6A" w:rsidP="00835F6A">
      <w:pPr>
        <w:spacing w:line="240" w:lineRule="auto"/>
        <w:ind w:firstLine="708"/>
        <w:rPr>
          <w:rFonts w:ascii="Candara" w:eastAsia="SimSun" w:hAnsi="Candara" w:cs="Arial"/>
          <w:sz w:val="22"/>
          <w:szCs w:val="22"/>
          <w:lang w:val="es-ES_tradnl"/>
        </w:rPr>
      </w:pPr>
    </w:p>
    <w:p w:rsidR="00B20869" w:rsidRPr="00DF2F0D" w:rsidRDefault="00835F6A" w:rsidP="00835F6A">
      <w:pPr>
        <w:spacing w:line="240" w:lineRule="auto"/>
        <w:rPr>
          <w:rFonts w:ascii="Candara" w:eastAsia="SimSun" w:hAnsi="Candara" w:cs="Arial"/>
          <w:sz w:val="22"/>
          <w:szCs w:val="22"/>
          <w:lang w:val="es-ES_tradnl"/>
        </w:rPr>
      </w:pPr>
      <w:r w:rsidRPr="00DF2F0D">
        <w:rPr>
          <w:rFonts w:ascii="Candara" w:eastAsia="SimSun" w:hAnsi="Candara" w:cs="Arial"/>
          <w:sz w:val="22"/>
          <w:szCs w:val="22"/>
          <w:lang w:val="es-ES_tradnl"/>
        </w:rPr>
        <w:t xml:space="preserve">Durante el periodo enero a </w:t>
      </w:r>
      <w:r w:rsidR="00282EB9" w:rsidRPr="00DF2F0D">
        <w:rPr>
          <w:rFonts w:ascii="Candara" w:eastAsia="SimSun" w:hAnsi="Candara" w:cs="Arial"/>
          <w:sz w:val="22"/>
          <w:szCs w:val="22"/>
          <w:lang w:val="es-ES_tradnl"/>
        </w:rPr>
        <w:t>junio</w:t>
      </w:r>
      <w:r w:rsidRPr="00DF2F0D">
        <w:rPr>
          <w:rFonts w:ascii="Candara" w:eastAsia="SimSun" w:hAnsi="Candara" w:cs="Arial"/>
          <w:sz w:val="22"/>
          <w:szCs w:val="22"/>
          <w:lang w:val="es-ES_tradnl"/>
        </w:rPr>
        <w:t xml:space="preserve"> 2018 se </w:t>
      </w:r>
      <w:r w:rsidR="00282EB9" w:rsidRPr="00DF2F0D">
        <w:rPr>
          <w:rFonts w:ascii="Candara" w:eastAsia="SimSun" w:hAnsi="Candara" w:cs="Arial"/>
          <w:sz w:val="22"/>
          <w:szCs w:val="22"/>
          <w:lang w:val="es-ES_tradnl"/>
        </w:rPr>
        <w:t xml:space="preserve">registraron entradas por </w:t>
      </w:r>
      <w:r w:rsidRPr="00DF2F0D">
        <w:rPr>
          <w:rFonts w:ascii="Candara" w:eastAsia="SimSun" w:hAnsi="Candara" w:cs="Arial"/>
          <w:sz w:val="22"/>
          <w:szCs w:val="22"/>
          <w:lang w:val="es-ES_tradnl"/>
        </w:rPr>
        <w:t xml:space="preserve">la cantidad de </w:t>
      </w:r>
      <w:r w:rsidR="00282EB9" w:rsidRPr="00DF2F0D">
        <w:rPr>
          <w:rFonts w:ascii="Candara" w:eastAsia="SimSun" w:hAnsi="Candara" w:cs="Arial"/>
          <w:sz w:val="22"/>
          <w:szCs w:val="22"/>
          <w:lang w:val="es-ES_tradnl"/>
        </w:rPr>
        <w:t>16,015.9</w:t>
      </w:r>
      <w:r w:rsidRPr="00DF2F0D">
        <w:rPr>
          <w:rFonts w:ascii="Candara" w:eastAsia="SimSun" w:hAnsi="Candara" w:cs="Arial"/>
          <w:sz w:val="22"/>
          <w:szCs w:val="22"/>
          <w:lang w:val="es-ES_tradnl"/>
        </w:rPr>
        <w:t xml:space="preserve"> miles de pesos </w:t>
      </w:r>
      <w:r w:rsidR="00282EB9" w:rsidRPr="00DF2F0D">
        <w:rPr>
          <w:rFonts w:ascii="Candara" w:eastAsia="SimSun" w:hAnsi="Candara" w:cs="Arial"/>
          <w:sz w:val="22"/>
          <w:szCs w:val="22"/>
          <w:lang w:val="es-ES_tradnl"/>
        </w:rPr>
        <w:t xml:space="preserve">y salidas por </w:t>
      </w:r>
      <w:r w:rsidRPr="00DF2F0D">
        <w:rPr>
          <w:rFonts w:ascii="Candara" w:eastAsia="SimSun" w:hAnsi="Candara" w:cs="Arial"/>
          <w:sz w:val="22"/>
          <w:szCs w:val="22"/>
          <w:lang w:val="es-ES_tradnl"/>
        </w:rPr>
        <w:t xml:space="preserve">un importe de </w:t>
      </w:r>
      <w:r w:rsidR="00282EB9" w:rsidRPr="00DF2F0D">
        <w:rPr>
          <w:rFonts w:ascii="Candara" w:eastAsia="SimSun" w:hAnsi="Candara" w:cs="Arial"/>
          <w:sz w:val="22"/>
          <w:szCs w:val="22"/>
          <w:lang w:val="es-ES_tradnl"/>
        </w:rPr>
        <w:t>4,064.2</w:t>
      </w:r>
      <w:r w:rsidRPr="00DF2F0D">
        <w:rPr>
          <w:rFonts w:ascii="Candara" w:eastAsia="SimSun" w:hAnsi="Candara" w:cs="Arial"/>
          <w:sz w:val="22"/>
          <w:szCs w:val="22"/>
          <w:lang w:val="es-ES_tradnl"/>
        </w:rPr>
        <w:t xml:space="preserve"> miles de pesos. Estos recursos se manejan conforme a lo que establecen los convenios respectivos, dando un seguimiento estricto sobre la terminación de dichos convenios y de ser necesario solicitar las ampliaciones de su vigencia. </w:t>
      </w:r>
    </w:p>
    <w:p w:rsidR="00DD1A4F" w:rsidRPr="00DF2F0D" w:rsidRDefault="00DD1A4F" w:rsidP="00835F6A">
      <w:pPr>
        <w:spacing w:line="240" w:lineRule="auto"/>
        <w:rPr>
          <w:rFonts w:ascii="Candara" w:eastAsia="SimSun" w:hAnsi="Candara" w:cs="Arial"/>
          <w:sz w:val="22"/>
          <w:szCs w:val="22"/>
          <w:lang w:val="es-ES_tradnl"/>
        </w:rPr>
      </w:pPr>
    </w:p>
    <w:p w:rsidR="00B20869" w:rsidRPr="00DF2F0D" w:rsidRDefault="00B20869" w:rsidP="00835F6A">
      <w:pPr>
        <w:spacing w:line="240" w:lineRule="auto"/>
        <w:rPr>
          <w:rFonts w:ascii="Candara" w:eastAsia="SimSun" w:hAnsi="Candara" w:cs="Arial"/>
          <w:sz w:val="22"/>
          <w:szCs w:val="22"/>
          <w:lang w:val="es-ES_tradnl"/>
        </w:rPr>
      </w:pPr>
      <w:r w:rsidRPr="00DF2F0D">
        <w:rPr>
          <w:rFonts w:ascii="Candara" w:eastAsia="SimSun" w:hAnsi="Candara" w:cs="Arial"/>
          <w:sz w:val="22"/>
          <w:szCs w:val="22"/>
          <w:lang w:val="es-ES_tradnl"/>
        </w:rPr>
        <w:t>De manera general el comportamiento del ejercicio del gasto de estos proyectos va acorde con su vigencia</w:t>
      </w:r>
      <w:r w:rsidR="00AC6DD8" w:rsidRPr="00DF2F0D">
        <w:rPr>
          <w:rFonts w:ascii="Candara" w:eastAsia="SimSun" w:hAnsi="Candara" w:cs="Arial"/>
          <w:sz w:val="22"/>
          <w:szCs w:val="22"/>
          <w:lang w:val="es-ES_tradnl"/>
        </w:rPr>
        <w:t>, solo podemos visualizar el proyecto 17003 que ha tenido un lento ejercicio</w:t>
      </w:r>
      <w:r w:rsidR="00C94DCD" w:rsidRPr="00DF2F0D">
        <w:rPr>
          <w:rFonts w:ascii="Candara" w:eastAsia="SimSun" w:hAnsi="Candara" w:cs="Arial"/>
          <w:sz w:val="22"/>
          <w:szCs w:val="22"/>
          <w:lang w:val="es-ES_tradnl"/>
        </w:rPr>
        <w:t>, por contrataciones que no les fue posible realizar y se espera regularizar su ejercicio en la segunda etapa de este proyecto.</w:t>
      </w:r>
    </w:p>
    <w:p w:rsidR="00B20869" w:rsidRPr="00DF2F0D" w:rsidRDefault="00B20869" w:rsidP="00835F6A">
      <w:pPr>
        <w:spacing w:line="240" w:lineRule="auto"/>
        <w:rPr>
          <w:rFonts w:ascii="Candara" w:eastAsia="SimSun" w:hAnsi="Candara" w:cs="Arial"/>
          <w:sz w:val="22"/>
          <w:szCs w:val="22"/>
          <w:lang w:val="es-ES_tradnl"/>
        </w:rPr>
      </w:pPr>
    </w:p>
    <w:p w:rsidR="00835F6A" w:rsidRPr="00DF2F0D" w:rsidRDefault="00835F6A" w:rsidP="00835F6A">
      <w:pPr>
        <w:spacing w:line="240" w:lineRule="auto"/>
        <w:rPr>
          <w:rFonts w:ascii="Candara" w:eastAsia="SimSun" w:hAnsi="Candara" w:cs="Arial"/>
          <w:sz w:val="22"/>
          <w:szCs w:val="22"/>
          <w:lang w:val="es-ES_tradnl"/>
        </w:rPr>
      </w:pPr>
      <w:r w:rsidRPr="00DF2F0D">
        <w:rPr>
          <w:rFonts w:ascii="Candara" w:eastAsia="SimSun" w:hAnsi="Candara" w:cs="Arial"/>
          <w:sz w:val="22"/>
          <w:szCs w:val="22"/>
          <w:lang w:val="es-ES_tradnl"/>
        </w:rPr>
        <w:t>En la tabla 4, se muestra a detalle la información por proyecto.</w:t>
      </w:r>
    </w:p>
    <w:p w:rsidR="00835F6A" w:rsidRPr="00DF2F0D" w:rsidRDefault="00835F6A" w:rsidP="00835F6A">
      <w:pPr>
        <w:spacing w:line="240" w:lineRule="auto"/>
        <w:rPr>
          <w:rFonts w:ascii="Candara" w:eastAsia="SimSun" w:hAnsi="Candara" w:cs="Arial"/>
          <w:sz w:val="22"/>
          <w:szCs w:val="22"/>
          <w:lang w:val="es-ES_tradnl"/>
        </w:rPr>
      </w:pPr>
    </w:p>
    <w:p w:rsidR="00835F6A" w:rsidRPr="00DF2F0D" w:rsidRDefault="00835F6A" w:rsidP="00835F6A">
      <w:pPr>
        <w:spacing w:line="240" w:lineRule="auto"/>
        <w:rPr>
          <w:color w:val="FFFFFF" w:themeColor="background1"/>
          <w:sz w:val="12"/>
          <w:szCs w:val="12"/>
          <w:lang w:val="es-ES_tradnl"/>
        </w:rPr>
      </w:pPr>
      <w:r w:rsidRPr="00DF2F0D">
        <w:rPr>
          <w:rFonts w:ascii="Candara" w:eastAsia="SimSun" w:hAnsi="Candara" w:cs="Arial"/>
          <w:sz w:val="22"/>
          <w:szCs w:val="22"/>
          <w:lang w:val="es-ES_tradnl"/>
        </w:rPr>
        <w:t>Con la aplicación de este tipo de recursos se fortalecen las metas y objetivos institucionales, así como el número de infraestructura y equipamiento de áreas sustantivas y laboratorios institucionales de alta calidad científica, lo que coadyuva a la generación de alternativas de solución a las problemáticas regionales.</w:t>
      </w:r>
    </w:p>
    <w:p w:rsidR="00697B9A" w:rsidRPr="00DF2F0D" w:rsidRDefault="00697B9A" w:rsidP="001D547E">
      <w:pPr>
        <w:jc w:val="center"/>
        <w:rPr>
          <w:color w:val="FFFFFF" w:themeColor="background1"/>
          <w:sz w:val="12"/>
          <w:szCs w:val="12"/>
          <w:lang w:val="es-ES_tradnl"/>
        </w:rPr>
      </w:pPr>
    </w:p>
    <w:p w:rsidR="00EA722B" w:rsidRPr="00DF2F0D" w:rsidRDefault="00EA722B" w:rsidP="001D547E">
      <w:pPr>
        <w:jc w:val="center"/>
        <w:rPr>
          <w:color w:val="FFFFFF" w:themeColor="background1"/>
          <w:sz w:val="12"/>
          <w:szCs w:val="12"/>
          <w:lang w:val="es-ES_tradnl"/>
        </w:rPr>
      </w:pPr>
    </w:p>
    <w:p w:rsidR="00EA722B" w:rsidRPr="00DF2F0D" w:rsidRDefault="00EA722B" w:rsidP="001D547E">
      <w:pPr>
        <w:jc w:val="center"/>
        <w:rPr>
          <w:color w:val="FFFFFF" w:themeColor="background1"/>
          <w:sz w:val="12"/>
          <w:szCs w:val="12"/>
          <w:lang w:val="es-ES_tradnl"/>
        </w:rPr>
      </w:pPr>
    </w:p>
    <w:p w:rsidR="00EA722B" w:rsidRPr="00DF2F0D" w:rsidRDefault="00EA722B" w:rsidP="001D547E">
      <w:pPr>
        <w:jc w:val="center"/>
        <w:rPr>
          <w:color w:val="FFFFFF" w:themeColor="background1"/>
          <w:sz w:val="12"/>
          <w:szCs w:val="12"/>
          <w:lang w:val="es-ES_tradnl"/>
        </w:rPr>
      </w:pPr>
    </w:p>
    <w:p w:rsidR="00215033" w:rsidRPr="00DF2F0D" w:rsidRDefault="00215033" w:rsidP="00F87E96">
      <w:pPr>
        <w:jc w:val="center"/>
        <w:rPr>
          <w:rFonts w:ascii="Candara" w:hAnsi="Candara"/>
          <w:b/>
          <w:sz w:val="22"/>
          <w:szCs w:val="22"/>
          <w:lang w:val="es-ES_tradnl"/>
        </w:rPr>
      </w:pPr>
    </w:p>
    <w:p w:rsidR="00F87E96" w:rsidRPr="00DF2F0D" w:rsidRDefault="00F87E96" w:rsidP="00F87E96">
      <w:pPr>
        <w:jc w:val="center"/>
        <w:rPr>
          <w:rFonts w:ascii="Candara" w:hAnsi="Candara"/>
          <w:b/>
          <w:sz w:val="22"/>
          <w:szCs w:val="22"/>
          <w:lang w:val="es-ES_tradnl"/>
        </w:rPr>
      </w:pPr>
    </w:p>
    <w:p w:rsidR="00EA722B" w:rsidRPr="00DF2F0D" w:rsidRDefault="00EA722B" w:rsidP="00F87E96">
      <w:pPr>
        <w:rPr>
          <w:color w:val="FFFFFF" w:themeColor="background1"/>
          <w:sz w:val="12"/>
          <w:szCs w:val="12"/>
          <w:lang w:val="es-ES_tradnl"/>
        </w:rPr>
        <w:sectPr w:rsidR="00EA722B" w:rsidRPr="00DF2F0D" w:rsidSect="00F71DB4">
          <w:pgSz w:w="12240" w:h="15840"/>
          <w:pgMar w:top="1418" w:right="1418" w:bottom="1418" w:left="1418" w:header="709" w:footer="709" w:gutter="0"/>
          <w:cols w:space="708"/>
          <w:docGrid w:linePitch="360"/>
        </w:sectPr>
      </w:pPr>
    </w:p>
    <w:p w:rsidR="005D65C0" w:rsidRPr="00DF2F0D" w:rsidRDefault="00180C1D" w:rsidP="00215033">
      <w:pPr>
        <w:spacing w:line="240" w:lineRule="auto"/>
        <w:rPr>
          <w:rFonts w:ascii="Candara" w:hAnsi="Candara"/>
          <w:color w:val="00B0F0"/>
          <w:sz w:val="22"/>
          <w:szCs w:val="22"/>
          <w:lang w:val="es-ES_tradnl"/>
        </w:rPr>
      </w:pPr>
      <w:r w:rsidRPr="00DF2F0D">
        <w:rPr>
          <w:rFonts w:ascii="Times New Roman" w:eastAsiaTheme="minorHAnsi" w:hAnsi="Times New Roman" w:cs="Times New Roman"/>
          <w:noProof/>
          <w:kern w:val="0"/>
          <w:sz w:val="24"/>
          <w:szCs w:val="24"/>
          <w:lang w:val="es-ES_tradnl" w:eastAsia="es-ES" w:bidi="ar-SA"/>
        </w:rPr>
        <w:lastRenderedPageBreak/>
        <mc:AlternateContent>
          <mc:Choice Requires="wps">
            <w:drawing>
              <wp:anchor distT="0" distB="0" distL="114300" distR="114300" simplePos="0" relativeHeight="251670528" behindDoc="0" locked="0" layoutInCell="1" allowOverlap="1" wp14:anchorId="3B379713" wp14:editId="5EAB966E">
                <wp:simplePos x="0" y="0"/>
                <wp:positionH relativeFrom="column">
                  <wp:posOffset>982345</wp:posOffset>
                </wp:positionH>
                <wp:positionV relativeFrom="paragraph">
                  <wp:posOffset>-189998</wp:posOffset>
                </wp:positionV>
                <wp:extent cx="6283325" cy="286603"/>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86603"/>
                        </a:xfrm>
                        <a:prstGeom prst="rect">
                          <a:avLst/>
                        </a:prstGeom>
                        <a:noFill/>
                        <a:ln w="9525">
                          <a:noFill/>
                          <a:miter lim="800000"/>
                          <a:headEnd/>
                          <a:tailEnd/>
                        </a:ln>
                      </wps:spPr>
                      <wps:txbx>
                        <w:txbxContent>
                          <w:p w:rsidR="00A76B1E" w:rsidRDefault="00A76B1E" w:rsidP="00180C1D">
                            <w:pPr>
                              <w:jc w:val="center"/>
                              <w:rPr>
                                <w:rFonts w:ascii="Candara" w:hAnsi="Candara"/>
                                <w:sz w:val="22"/>
                                <w:szCs w:val="22"/>
                              </w:rPr>
                            </w:pPr>
                            <w:r>
                              <w:rPr>
                                <w:rFonts w:ascii="Candara" w:hAnsi="Candara"/>
                                <w:b/>
                                <w:sz w:val="22"/>
                                <w:szCs w:val="22"/>
                              </w:rPr>
                              <w:t>Tabla 4. Proyectos de Fondos en Administración enero–junio 2018 (pesos)</w:t>
                            </w:r>
                          </w:p>
                          <w:p w:rsidR="00A76B1E" w:rsidRDefault="00A76B1E" w:rsidP="0018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Cuadro de texto 307" o:spid="_x0000_s1028" type="#_x0000_t202" style="position:absolute;left:0;text-align:left;margin-left:77.35pt;margin-top:-14.95pt;width:494.7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" filled="f" stroked="f">
                <v:textbox>
                  <w:txbxContent>
                    <w:p w:rsidR="00A76B1E" w:rsidRDefault="00A76B1E" w:rsidP="00180C1D">
                      <w:pPr>
                        <w:jc w:val="center"/>
                        <w:rPr>
                          <w:rFonts w:ascii="Candara" w:hAnsi="Candara"/>
                          <w:sz w:val="22"/>
                          <w:szCs w:val="22"/>
                        </w:rPr>
                      </w:pPr>
                      <w:r>
                        <w:rPr>
                          <w:rFonts w:ascii="Candara" w:hAnsi="Candara"/>
                          <w:b/>
                          <w:sz w:val="22"/>
                          <w:szCs w:val="22"/>
                        </w:rPr>
                        <w:t>Tabla 4. Proyectos de Fondos en Administración enero–junio 2018 (pesos)</w:t>
                      </w:r>
                    </w:p>
                    <w:p w:rsidR="00A76B1E" w:rsidRDefault="00A76B1E" w:rsidP="00180C1D"/>
                  </w:txbxContent>
                </v:textbox>
              </v:shape>
            </w:pict>
          </mc:Fallback>
        </mc:AlternateContent>
      </w:r>
    </w:p>
    <w:tbl>
      <w:tblPr>
        <w:tblW w:w="14176" w:type="dxa"/>
        <w:jc w:val="center"/>
        <w:tblLayout w:type="fixed"/>
        <w:tblCellMar>
          <w:left w:w="70" w:type="dxa"/>
          <w:right w:w="70" w:type="dxa"/>
        </w:tblCellMar>
        <w:tblLook w:val="04A0" w:firstRow="1" w:lastRow="0" w:firstColumn="1" w:lastColumn="0" w:noHBand="0" w:noVBand="1"/>
      </w:tblPr>
      <w:tblGrid>
        <w:gridCol w:w="672"/>
        <w:gridCol w:w="1016"/>
        <w:gridCol w:w="2335"/>
        <w:gridCol w:w="318"/>
        <w:gridCol w:w="331"/>
        <w:gridCol w:w="260"/>
        <w:gridCol w:w="1038"/>
        <w:gridCol w:w="1038"/>
        <w:gridCol w:w="1038"/>
        <w:gridCol w:w="1038"/>
        <w:gridCol w:w="1038"/>
        <w:gridCol w:w="1038"/>
        <w:gridCol w:w="1038"/>
        <w:gridCol w:w="1128"/>
        <w:gridCol w:w="850"/>
      </w:tblGrid>
      <w:tr w:rsidR="00FC56B0" w:rsidRPr="00DF2F0D" w:rsidTr="00180C1D">
        <w:trPr>
          <w:trHeight w:val="308"/>
          <w:jc w:val="center"/>
        </w:trPr>
        <w:tc>
          <w:tcPr>
            <w:tcW w:w="672" w:type="dxa"/>
            <w:vMerge w:val="restart"/>
            <w:tcBorders>
              <w:top w:val="single" w:sz="4" w:space="0" w:color="auto"/>
              <w:left w:val="single" w:sz="4" w:space="0" w:color="auto"/>
              <w:bottom w:val="single" w:sz="4" w:space="0" w:color="000000"/>
              <w:right w:val="single" w:sz="4" w:space="0" w:color="auto"/>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 xml:space="preserve">No. de proyecto </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Origen de los recursos</w:t>
            </w:r>
          </w:p>
        </w:tc>
        <w:tc>
          <w:tcPr>
            <w:tcW w:w="2335" w:type="dxa"/>
            <w:vMerge w:val="restart"/>
            <w:tcBorders>
              <w:top w:val="single" w:sz="4" w:space="0" w:color="auto"/>
              <w:left w:val="single" w:sz="4" w:space="0" w:color="auto"/>
              <w:bottom w:val="single" w:sz="4" w:space="0" w:color="000000"/>
              <w:right w:val="single" w:sz="4" w:space="0" w:color="auto"/>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Destino y propósito de los recursos</w:t>
            </w:r>
          </w:p>
        </w:tc>
        <w:tc>
          <w:tcPr>
            <w:tcW w:w="909" w:type="dxa"/>
            <w:gridSpan w:val="3"/>
            <w:tcBorders>
              <w:top w:val="single" w:sz="4" w:space="0" w:color="auto"/>
              <w:left w:val="nil"/>
              <w:bottom w:val="single" w:sz="4" w:space="0" w:color="auto"/>
              <w:right w:val="single" w:sz="4" w:space="0" w:color="000000"/>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Vigencia</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Monto autorizado</w:t>
            </w:r>
          </w:p>
        </w:tc>
        <w:tc>
          <w:tcPr>
            <w:tcW w:w="3114" w:type="dxa"/>
            <w:gridSpan w:val="3"/>
            <w:tcBorders>
              <w:top w:val="single" w:sz="4" w:space="0" w:color="auto"/>
              <w:left w:val="nil"/>
              <w:bottom w:val="single" w:sz="4" w:space="0" w:color="auto"/>
              <w:right w:val="single" w:sz="4" w:space="0" w:color="000000"/>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Entradas</w:t>
            </w:r>
          </w:p>
        </w:tc>
        <w:tc>
          <w:tcPr>
            <w:tcW w:w="3114" w:type="dxa"/>
            <w:gridSpan w:val="3"/>
            <w:tcBorders>
              <w:top w:val="single" w:sz="4" w:space="0" w:color="auto"/>
              <w:left w:val="nil"/>
              <w:bottom w:val="single" w:sz="4" w:space="0" w:color="auto"/>
              <w:right w:val="single" w:sz="4" w:space="0" w:color="000000"/>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Salidas</w:t>
            </w:r>
          </w:p>
        </w:tc>
        <w:tc>
          <w:tcPr>
            <w:tcW w:w="1128" w:type="dxa"/>
            <w:vMerge w:val="restart"/>
            <w:tcBorders>
              <w:top w:val="single" w:sz="4" w:space="0" w:color="auto"/>
              <w:left w:val="single" w:sz="4" w:space="0" w:color="auto"/>
              <w:bottom w:val="single" w:sz="4" w:space="0" w:color="000000"/>
              <w:right w:val="single" w:sz="4" w:space="0" w:color="auto"/>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Saldo disponible</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Avance financiero</w:t>
            </w:r>
          </w:p>
        </w:tc>
      </w:tr>
      <w:tr w:rsidR="00FC56B0" w:rsidRPr="00DF2F0D" w:rsidTr="00180C1D">
        <w:trPr>
          <w:trHeight w:val="720"/>
          <w:jc w:val="center"/>
        </w:trPr>
        <w:tc>
          <w:tcPr>
            <w:tcW w:w="672" w:type="dxa"/>
            <w:vMerge/>
            <w:tcBorders>
              <w:top w:val="single" w:sz="4" w:space="0" w:color="auto"/>
              <w:left w:val="single" w:sz="4" w:space="0" w:color="auto"/>
              <w:bottom w:val="single" w:sz="4" w:space="0" w:color="000000"/>
              <w:right w:val="single" w:sz="4" w:space="0" w:color="auto"/>
            </w:tcBorders>
            <w:vAlign w:val="center"/>
            <w:hideMark/>
          </w:tcPr>
          <w:p w:rsidR="00FC56B0" w:rsidRPr="00DF2F0D" w:rsidRDefault="00FC56B0" w:rsidP="00FC56B0">
            <w:pPr>
              <w:widowControl/>
              <w:spacing w:line="240" w:lineRule="auto"/>
              <w:jc w:val="left"/>
              <w:rPr>
                <w:rFonts w:ascii="Calibri" w:eastAsia="Times New Roman" w:hAnsi="Calibri" w:cs="Arial"/>
                <w:b/>
                <w:bCs/>
                <w:kern w:val="0"/>
                <w:sz w:val="16"/>
                <w:szCs w:val="16"/>
                <w:lang w:val="es-ES_tradnl" w:eastAsia="es-MX" w:bidi="ar-SA"/>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FC56B0" w:rsidRPr="00DF2F0D" w:rsidRDefault="00FC56B0" w:rsidP="00FC56B0">
            <w:pPr>
              <w:widowControl/>
              <w:spacing w:line="240" w:lineRule="auto"/>
              <w:jc w:val="left"/>
              <w:rPr>
                <w:rFonts w:ascii="Calibri" w:eastAsia="Times New Roman" w:hAnsi="Calibri" w:cs="Arial"/>
                <w:b/>
                <w:bCs/>
                <w:kern w:val="0"/>
                <w:sz w:val="16"/>
                <w:szCs w:val="16"/>
                <w:lang w:val="es-ES_tradnl" w:eastAsia="es-MX" w:bidi="ar-SA"/>
              </w:rPr>
            </w:pPr>
          </w:p>
        </w:tc>
        <w:tc>
          <w:tcPr>
            <w:tcW w:w="2335" w:type="dxa"/>
            <w:vMerge/>
            <w:tcBorders>
              <w:top w:val="single" w:sz="4" w:space="0" w:color="auto"/>
              <w:left w:val="single" w:sz="4" w:space="0" w:color="auto"/>
              <w:bottom w:val="single" w:sz="4" w:space="0" w:color="000000"/>
              <w:right w:val="single" w:sz="4" w:space="0" w:color="auto"/>
            </w:tcBorders>
            <w:vAlign w:val="center"/>
            <w:hideMark/>
          </w:tcPr>
          <w:p w:rsidR="00FC56B0" w:rsidRPr="00DF2F0D" w:rsidRDefault="00FC56B0" w:rsidP="00FC56B0">
            <w:pPr>
              <w:widowControl/>
              <w:spacing w:line="240" w:lineRule="auto"/>
              <w:jc w:val="left"/>
              <w:rPr>
                <w:rFonts w:ascii="Calibri" w:eastAsia="Times New Roman" w:hAnsi="Calibri" w:cs="Arial"/>
                <w:b/>
                <w:bCs/>
                <w:kern w:val="0"/>
                <w:sz w:val="16"/>
                <w:szCs w:val="16"/>
                <w:lang w:val="es-ES_tradnl" w:eastAsia="es-MX" w:bidi="ar-SA"/>
              </w:rPr>
            </w:pPr>
          </w:p>
        </w:tc>
        <w:tc>
          <w:tcPr>
            <w:tcW w:w="318" w:type="dxa"/>
            <w:tcBorders>
              <w:top w:val="nil"/>
              <w:left w:val="nil"/>
              <w:bottom w:val="single" w:sz="4" w:space="0" w:color="auto"/>
              <w:right w:val="single" w:sz="4" w:space="0" w:color="auto"/>
            </w:tcBorders>
            <w:shd w:val="clear" w:color="auto" w:fill="0070C0"/>
            <w:textDirection w:val="btLr"/>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Inicial</w:t>
            </w:r>
          </w:p>
        </w:tc>
        <w:tc>
          <w:tcPr>
            <w:tcW w:w="331" w:type="dxa"/>
            <w:tcBorders>
              <w:top w:val="nil"/>
              <w:left w:val="nil"/>
              <w:bottom w:val="single" w:sz="4" w:space="0" w:color="auto"/>
              <w:right w:val="single" w:sz="4" w:space="0" w:color="auto"/>
            </w:tcBorders>
            <w:shd w:val="clear" w:color="auto" w:fill="0070C0"/>
            <w:textDirection w:val="btLr"/>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Final</w:t>
            </w:r>
          </w:p>
        </w:tc>
        <w:tc>
          <w:tcPr>
            <w:tcW w:w="260" w:type="dxa"/>
            <w:tcBorders>
              <w:top w:val="nil"/>
              <w:left w:val="nil"/>
              <w:bottom w:val="single" w:sz="4" w:space="0" w:color="auto"/>
              <w:right w:val="single" w:sz="4" w:space="0" w:color="auto"/>
            </w:tcBorders>
            <w:shd w:val="clear" w:color="auto" w:fill="0070C0"/>
            <w:textDirection w:val="btLr"/>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Prórroga</w:t>
            </w:r>
          </w:p>
        </w:tc>
        <w:tc>
          <w:tcPr>
            <w:tcW w:w="1038" w:type="dxa"/>
            <w:vMerge/>
            <w:tcBorders>
              <w:top w:val="single" w:sz="4" w:space="0" w:color="auto"/>
              <w:left w:val="single" w:sz="4" w:space="0" w:color="auto"/>
              <w:bottom w:val="single" w:sz="4" w:space="0" w:color="000000"/>
              <w:right w:val="single" w:sz="4" w:space="0" w:color="auto"/>
            </w:tcBorders>
            <w:shd w:val="clear" w:color="auto" w:fill="0070C0"/>
            <w:vAlign w:val="center"/>
            <w:hideMark/>
          </w:tcPr>
          <w:p w:rsidR="00FC56B0" w:rsidRPr="00DF2F0D" w:rsidRDefault="00FC56B0" w:rsidP="00FC56B0">
            <w:pPr>
              <w:widowControl/>
              <w:spacing w:line="240" w:lineRule="auto"/>
              <w:jc w:val="left"/>
              <w:rPr>
                <w:rFonts w:ascii="Calibri" w:eastAsia="Times New Roman" w:hAnsi="Calibri" w:cs="Arial"/>
                <w:b/>
                <w:bCs/>
                <w:color w:val="FFFFFF" w:themeColor="background1"/>
                <w:kern w:val="0"/>
                <w:sz w:val="16"/>
                <w:szCs w:val="16"/>
                <w:lang w:val="es-ES_tradnl" w:eastAsia="es-MX" w:bidi="ar-SA"/>
              </w:rPr>
            </w:pPr>
          </w:p>
        </w:tc>
        <w:tc>
          <w:tcPr>
            <w:tcW w:w="1038" w:type="dxa"/>
            <w:tcBorders>
              <w:top w:val="nil"/>
              <w:left w:val="nil"/>
              <w:bottom w:val="single" w:sz="4" w:space="0" w:color="auto"/>
              <w:right w:val="single" w:sz="4" w:space="0" w:color="auto"/>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Años anteriores</w:t>
            </w:r>
          </w:p>
        </w:tc>
        <w:tc>
          <w:tcPr>
            <w:tcW w:w="1038" w:type="dxa"/>
            <w:tcBorders>
              <w:top w:val="nil"/>
              <w:left w:val="nil"/>
              <w:bottom w:val="single" w:sz="4" w:space="0" w:color="auto"/>
              <w:right w:val="single" w:sz="4" w:space="0" w:color="auto"/>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Año actual</w:t>
            </w:r>
          </w:p>
        </w:tc>
        <w:tc>
          <w:tcPr>
            <w:tcW w:w="1038" w:type="dxa"/>
            <w:tcBorders>
              <w:top w:val="nil"/>
              <w:left w:val="nil"/>
              <w:bottom w:val="single" w:sz="4" w:space="0" w:color="auto"/>
              <w:right w:val="single" w:sz="4" w:space="0" w:color="auto"/>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Total</w:t>
            </w:r>
          </w:p>
        </w:tc>
        <w:tc>
          <w:tcPr>
            <w:tcW w:w="1038" w:type="dxa"/>
            <w:tcBorders>
              <w:top w:val="nil"/>
              <w:left w:val="nil"/>
              <w:bottom w:val="single" w:sz="4" w:space="0" w:color="auto"/>
              <w:right w:val="single" w:sz="4" w:space="0" w:color="auto"/>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Años anteriores</w:t>
            </w:r>
          </w:p>
        </w:tc>
        <w:tc>
          <w:tcPr>
            <w:tcW w:w="1038" w:type="dxa"/>
            <w:tcBorders>
              <w:top w:val="nil"/>
              <w:left w:val="nil"/>
              <w:bottom w:val="single" w:sz="4" w:space="0" w:color="auto"/>
              <w:right w:val="single" w:sz="4" w:space="0" w:color="auto"/>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Año actual</w:t>
            </w:r>
          </w:p>
        </w:tc>
        <w:tc>
          <w:tcPr>
            <w:tcW w:w="1038" w:type="dxa"/>
            <w:tcBorders>
              <w:top w:val="nil"/>
              <w:left w:val="nil"/>
              <w:bottom w:val="single" w:sz="4" w:space="0" w:color="auto"/>
              <w:right w:val="single" w:sz="4" w:space="0" w:color="auto"/>
            </w:tcBorders>
            <w:shd w:val="clear" w:color="auto" w:fill="0070C0"/>
            <w:vAlign w:val="center"/>
            <w:hideMark/>
          </w:tcPr>
          <w:p w:rsidR="00FC56B0" w:rsidRPr="00DF2F0D" w:rsidRDefault="00FC56B0" w:rsidP="00FC56B0">
            <w:pPr>
              <w:widowControl/>
              <w:spacing w:line="240" w:lineRule="auto"/>
              <w:jc w:val="center"/>
              <w:rPr>
                <w:rFonts w:ascii="Calibri" w:eastAsia="Times New Roman" w:hAnsi="Calibri" w:cs="Arial"/>
                <w:b/>
                <w:bCs/>
                <w:color w:val="FFFFFF" w:themeColor="background1"/>
                <w:kern w:val="0"/>
                <w:sz w:val="16"/>
                <w:szCs w:val="16"/>
                <w:lang w:val="es-ES_tradnl" w:eastAsia="es-MX" w:bidi="ar-SA"/>
              </w:rPr>
            </w:pPr>
            <w:r w:rsidRPr="00DF2F0D">
              <w:rPr>
                <w:rFonts w:ascii="Calibri" w:eastAsia="Times New Roman" w:hAnsi="Calibri" w:cs="Arial"/>
                <w:b/>
                <w:bCs/>
                <w:color w:val="FFFFFF" w:themeColor="background1"/>
                <w:kern w:val="0"/>
                <w:sz w:val="16"/>
                <w:szCs w:val="16"/>
                <w:lang w:val="es-ES_tradnl" w:eastAsia="es-MX" w:bidi="ar-SA"/>
              </w:rPr>
              <w:t>Total</w:t>
            </w:r>
          </w:p>
        </w:tc>
        <w:tc>
          <w:tcPr>
            <w:tcW w:w="1128" w:type="dxa"/>
            <w:vMerge/>
            <w:tcBorders>
              <w:top w:val="single" w:sz="4" w:space="0" w:color="auto"/>
              <w:left w:val="single" w:sz="4" w:space="0" w:color="auto"/>
              <w:bottom w:val="single" w:sz="4" w:space="0" w:color="000000"/>
              <w:right w:val="single" w:sz="4" w:space="0" w:color="auto"/>
            </w:tcBorders>
            <w:vAlign w:val="center"/>
            <w:hideMark/>
          </w:tcPr>
          <w:p w:rsidR="00FC56B0" w:rsidRPr="00DF2F0D" w:rsidRDefault="00FC56B0" w:rsidP="00FC56B0">
            <w:pPr>
              <w:widowControl/>
              <w:spacing w:line="240" w:lineRule="auto"/>
              <w:jc w:val="left"/>
              <w:rPr>
                <w:rFonts w:ascii="Calibri" w:eastAsia="Times New Roman" w:hAnsi="Calibri" w:cs="Arial"/>
                <w:b/>
                <w:bCs/>
                <w:kern w:val="0"/>
                <w:sz w:val="16"/>
                <w:szCs w:val="16"/>
                <w:lang w:val="es-ES_tradnl" w:eastAsia="es-MX" w:bidi="ar-S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C56B0" w:rsidRPr="00DF2F0D" w:rsidRDefault="00FC56B0" w:rsidP="00FC56B0">
            <w:pPr>
              <w:widowControl/>
              <w:spacing w:line="240" w:lineRule="auto"/>
              <w:jc w:val="left"/>
              <w:rPr>
                <w:rFonts w:ascii="Calibri" w:eastAsia="Times New Roman" w:hAnsi="Calibri" w:cs="Arial"/>
                <w:b/>
                <w:bCs/>
                <w:kern w:val="0"/>
                <w:sz w:val="16"/>
                <w:szCs w:val="16"/>
                <w:lang w:val="es-ES_tradnl" w:eastAsia="es-MX" w:bidi="ar-SA"/>
              </w:rPr>
            </w:pPr>
          </w:p>
        </w:tc>
      </w:tr>
      <w:tr w:rsidR="00FC56B0" w:rsidRPr="00DF2F0D" w:rsidTr="00180C1D">
        <w:trPr>
          <w:trHeight w:val="103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16005</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Institucional del CONACYT (FOINS)</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Innovación en empresas sociales para contribuir a su fortalecimiento: el caso de la Federación Indígena Ecológica de Chiapas.</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30/09/15</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30/09/17</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20/03/18</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848,000.00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848,000.00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848,000.00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761,577.48</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53,691.99</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815,269.47</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32,730.53</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96.14%</w:t>
            </w:r>
          </w:p>
        </w:tc>
      </w:tr>
      <w:tr w:rsidR="00FC56B0" w:rsidRPr="00DF2F0D" w:rsidTr="00180C1D">
        <w:trPr>
          <w:trHeight w:val="1015"/>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16008</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Institucional del CONACYT (FOINS)</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Bajo peso al nacer y obesidad en una cohorte de adolescentes de las Regiones Tzotzil-Tzeltal y Selva de Chiapas.</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20/12/16</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20/12/18</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1,999,400.00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1,999,400.00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1,999,400.00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1,504,759.00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66,341.35</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1,571,100.35</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428,299.65</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78.58%</w:t>
            </w:r>
          </w:p>
        </w:tc>
      </w:tr>
      <w:tr w:rsidR="00FC56B0" w:rsidRPr="00DF2F0D" w:rsidTr="00180C1D">
        <w:trPr>
          <w:trHeight w:val="140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17002</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Sectorial de Investigación para la Educación (SEP-CONACYT).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Cuantificación de emisiones de metano entérico y óxido nitroso en ganadería bovina en pastoreo y diseño de estrategias para la mitigación en el sureste de México.</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30/06/15</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29/06/18</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2,659,000.00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2,656,400.00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2,600.00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2,659,000.00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2,350,915.90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161,174.47</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2,512,090.37</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146,909.63</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94.48%</w:t>
            </w:r>
          </w:p>
        </w:tc>
      </w:tr>
      <w:tr w:rsidR="00FC56B0" w:rsidRPr="00DF2F0D" w:rsidTr="00180C1D">
        <w:trPr>
          <w:trHeight w:val="1584"/>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17003</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Sectorial de Investigación para la Educación (SEP-CONACYT).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Cambios en el clima y en el uso del suelo como determinantes de la alteración espacial y la estructura de las comunidades de insectos en sistemas montañosos del sur de México.</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21/10/16</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20/10/19</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1,500,000.00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374,000.00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562,000.00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936,000.00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191,996.10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116,913.27</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308,909.37</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627,090.63</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20.59%</w:t>
            </w:r>
          </w:p>
        </w:tc>
      </w:tr>
      <w:tr w:rsidR="00FC56B0" w:rsidRPr="00DF2F0D" w:rsidTr="00180C1D">
        <w:trPr>
          <w:trHeight w:val="984"/>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17004</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Sectorial de Investigación para la Educación (SEP-CONACYT).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Análisis y evaluación de los posibles vectores y reservorios del virus del évola en México.</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21/10/16</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20/10/19</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2,967,800.00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1,259,132.00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815,900.00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2,075,032.00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1,192,884.93</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562,884.02</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1,755,768.95</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319,263.05</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59.16%</w:t>
            </w:r>
          </w:p>
        </w:tc>
      </w:tr>
      <w:tr w:rsidR="00FC56B0" w:rsidRPr="00DF2F0D" w:rsidTr="00180C1D">
        <w:trPr>
          <w:trHeight w:val="1261"/>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17005</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Sectorial de Investigación y Desarrollo INMUJERES-CONACYT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Violencia de género en ámbitos comunitarios entre estudiantes de universidades  interculturales  de Chiapas, Tabasco,  y Quintana Roo.</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01/03/18</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28/02/19</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1,200,000.00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545,000.00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545,000.00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545,000.00</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r>
      <w:tr w:rsidR="00FC56B0" w:rsidRPr="00DF2F0D" w:rsidTr="00180C1D">
        <w:trPr>
          <w:trHeight w:val="1861"/>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lastRenderedPageBreak/>
              <w:t>17006</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Sectorial SAGARPA-CONACYT (UNAM Morelia)</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Manejo sustentable de polinizadores: estatus actual, factores de riesgo y estrategias para el aprovechamiento de las abejas melíferas y silvestres en sistemas de agricultura protegida y en cultivos a campo abierto en México.</w:t>
            </w:r>
          </w:p>
        </w:tc>
        <w:tc>
          <w:tcPr>
            <w:tcW w:w="318" w:type="dxa"/>
            <w:tcBorders>
              <w:top w:val="single" w:sz="4" w:space="0" w:color="auto"/>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05/04/18</w:t>
            </w:r>
          </w:p>
        </w:tc>
        <w:tc>
          <w:tcPr>
            <w:tcW w:w="331" w:type="dxa"/>
            <w:tcBorders>
              <w:top w:val="single" w:sz="4" w:space="0" w:color="auto"/>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14/03/21</w:t>
            </w:r>
          </w:p>
        </w:tc>
        <w:tc>
          <w:tcPr>
            <w:tcW w:w="260" w:type="dxa"/>
            <w:tcBorders>
              <w:top w:val="single" w:sz="4" w:space="0" w:color="auto"/>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3,854,000.00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3,854,000.00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3,854,000.00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3,854,000.00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r>
      <w:tr w:rsidR="00FC56B0" w:rsidRPr="00DF2F0D" w:rsidTr="00180C1D">
        <w:trPr>
          <w:trHeight w:val="1154"/>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26003</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Consejo Nacional de Ciencia y Tecnología (CONACYT)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ECOSUR a puertas abiertas 2018</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18/06/18</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31/12/18</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298,558.00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298,558.00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298,558.00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298,558.00</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r>
      <w:tr w:rsidR="00FC56B0" w:rsidRPr="00DF2F0D" w:rsidTr="00180C1D">
        <w:trPr>
          <w:trHeight w:val="103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36004</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Institucional del CONACYT (FOINS)</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 xml:space="preserve">Transporte de nutrientes por los ríos Grijalva-Usumacinta al Golfo de México                                                                                                                                                                                                                                                    </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29/08/15</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29/09/17</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27/03/18</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1,500,000.00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1,500,000.00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1,500,000.00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1,478,313.40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21,686.60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1,500,000.00</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100.00%</w:t>
            </w:r>
          </w:p>
        </w:tc>
      </w:tr>
      <w:tr w:rsidR="00FC56B0" w:rsidRPr="00DF2F0D" w:rsidTr="00180C1D">
        <w:trPr>
          <w:trHeight w:val="1046"/>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36006</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Institucional del CONACYT (FOINS)</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Pesca y petróleo: línea base para el uso compartido de los espacios marinos en la costa de Tabasco</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15/02/17</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15/02/19</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1,497,000.00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1,497,000.00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1,497,000.00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558,646.84</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438,289.58</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996,936.42</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500,063.58</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66.60%</w:t>
            </w:r>
          </w:p>
        </w:tc>
      </w:tr>
      <w:tr w:rsidR="00FC56B0" w:rsidRPr="00DF2F0D" w:rsidTr="00180C1D">
        <w:trPr>
          <w:trHeight w:val="103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36007</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Institucional del CONACYT (FOINS)</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Adaptabilidad de los mosaicos rurales al cambio climático</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08/02/17</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08/02/19</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1,617,200.00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1,617,200.00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1,617,200.00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647,266.62</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413,041.78</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1,060,308.40</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556,891.60</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65.56%</w:t>
            </w:r>
          </w:p>
        </w:tc>
      </w:tr>
      <w:tr w:rsidR="00FC56B0" w:rsidRPr="00DF2F0D" w:rsidTr="00180C1D">
        <w:trPr>
          <w:trHeight w:val="1753"/>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36008</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Institucional de Fomento Regional para el Desarrollo Científico, Tecnológico y de Innovación (FORDECYT)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Cambio global y sustentabilidad en la Cuenca del Usumacinta y zona marina de influencia: bases para la adaptación al cambio climático desde la ciencia y la gestión del territorio</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15/12/16</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15/03/20</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4,943,884.39</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1,988,470.20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2,408,413.39</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4,396,883.59</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1,562,965.33</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587,097.03</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2,150,062.36</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2,246,821.23</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43.49%</w:t>
            </w:r>
          </w:p>
        </w:tc>
      </w:tr>
      <w:tr w:rsidR="00FC56B0" w:rsidRPr="00DF2F0D" w:rsidTr="00180C1D">
        <w:trPr>
          <w:trHeight w:val="1753"/>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lastRenderedPageBreak/>
              <w:t>36010</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180C1D">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Centro del Cambio Global y la Sustentabilidad en el Su</w:t>
            </w:r>
            <w:r w:rsidR="00180C1D" w:rsidRPr="00DF2F0D">
              <w:rPr>
                <w:rFonts w:ascii="Calibri" w:eastAsia="Times New Roman" w:hAnsi="Calibri" w:cs="Arial"/>
                <w:color w:val="000000"/>
                <w:kern w:val="0"/>
                <w:sz w:val="14"/>
                <w:szCs w:val="14"/>
                <w:lang w:val="es-ES_tradnl" w:eastAsia="es-MX" w:bidi="ar-SA"/>
              </w:rPr>
              <w:t>r</w:t>
            </w:r>
            <w:r w:rsidRPr="00DF2F0D">
              <w:rPr>
                <w:rFonts w:ascii="Calibri" w:eastAsia="Times New Roman" w:hAnsi="Calibri" w:cs="Arial"/>
                <w:color w:val="000000"/>
                <w:kern w:val="0"/>
                <w:sz w:val="14"/>
                <w:szCs w:val="14"/>
                <w:lang w:val="es-ES_tradnl" w:eastAsia="es-MX" w:bidi="ar-SA"/>
              </w:rPr>
              <w:t>este, A.C.</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 xml:space="preserve">From traditional uses to an integrated </w:t>
            </w:r>
            <w:r w:rsidR="00620049" w:rsidRPr="00DF2F0D">
              <w:rPr>
                <w:rFonts w:ascii="Calibri" w:eastAsia="Times New Roman" w:hAnsi="Calibri" w:cs="Arial"/>
                <w:color w:val="000000"/>
                <w:kern w:val="0"/>
                <w:sz w:val="14"/>
                <w:szCs w:val="14"/>
                <w:lang w:val="es-ES_tradnl" w:eastAsia="es-MX" w:bidi="ar-SA"/>
              </w:rPr>
              <w:t>valorization</w:t>
            </w:r>
            <w:r w:rsidRPr="00DF2F0D">
              <w:rPr>
                <w:rFonts w:ascii="Calibri" w:eastAsia="Times New Roman" w:hAnsi="Calibri" w:cs="Arial"/>
                <w:color w:val="000000"/>
                <w:kern w:val="0"/>
                <w:sz w:val="14"/>
                <w:szCs w:val="14"/>
                <w:lang w:val="es-ES_tradnl" w:eastAsia="es-MX" w:bidi="ar-SA"/>
              </w:rPr>
              <w:t xml:space="preserve"> of sediments in the Usumacinta River Basin</w:t>
            </w:r>
          </w:p>
        </w:tc>
        <w:tc>
          <w:tcPr>
            <w:tcW w:w="318" w:type="dxa"/>
            <w:tcBorders>
              <w:top w:val="single" w:sz="4" w:space="0" w:color="auto"/>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01/06/18</w:t>
            </w:r>
          </w:p>
        </w:tc>
        <w:tc>
          <w:tcPr>
            <w:tcW w:w="331" w:type="dxa"/>
            <w:tcBorders>
              <w:top w:val="single" w:sz="4" w:space="0" w:color="auto"/>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28/02/21</w:t>
            </w:r>
          </w:p>
        </w:tc>
        <w:tc>
          <w:tcPr>
            <w:tcW w:w="260" w:type="dxa"/>
            <w:tcBorders>
              <w:top w:val="single" w:sz="4" w:space="0" w:color="auto"/>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1,244,114.80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536,066.14</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536,066.14</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60,916.00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60,916.00</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475,150.14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4.90%</w:t>
            </w:r>
          </w:p>
        </w:tc>
      </w:tr>
      <w:tr w:rsidR="00FC56B0" w:rsidRPr="00DF2F0D" w:rsidTr="00180C1D">
        <w:trPr>
          <w:trHeight w:val="1753"/>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36011</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Consejo Nacional de Ciencia y Tecnología (CONACYT)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Factores asociados a las dislipidemias en población infantil de las regiones fronteriza de Chiapas y centro de Tabasco</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08/06/18</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08/06/20</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1,385,160.00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1,385,160.00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1,385,160.00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1,385,160.00</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r>
      <w:tr w:rsidR="00FC56B0" w:rsidRPr="00DF2F0D" w:rsidTr="00180C1D">
        <w:trPr>
          <w:trHeight w:val="183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46010</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Institucional de Fomento Regional para el Desarrollo Científico, Tecnológico y de Innovación. (FORDECYT)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Región Transfronteriza México-Guatemala: Dimensión Regional y Bases para su Desarrollo Integral(Primera Fase, 2017-2018)</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17/11/17</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31/12/19</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3,488,000.00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3,488,000.00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3,488,000.00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314,345.49</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314,345.49</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3,173,654.51</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9.01%</w:t>
            </w:r>
          </w:p>
        </w:tc>
      </w:tr>
      <w:tr w:rsidR="00FC56B0" w:rsidRPr="00DF2F0D" w:rsidTr="00180C1D">
        <w:trPr>
          <w:trHeight w:val="103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47001</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Sectorial de Investigación para la Educación (SEP-CONACYT).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 xml:space="preserve">Conectividad mediada por migración de peces entre el mar caribe y la bahía de Chetumal, con énfasis en el macabí (albula spp).                                            </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15/09/15</w:t>
            </w:r>
          </w:p>
        </w:tc>
        <w:tc>
          <w:tcPr>
            <w:tcW w:w="331" w:type="dxa"/>
            <w:tcBorders>
              <w:top w:val="nil"/>
              <w:left w:val="nil"/>
              <w:bottom w:val="single" w:sz="4" w:space="0" w:color="auto"/>
              <w:right w:val="single" w:sz="4" w:space="0" w:color="auto"/>
            </w:tcBorders>
            <w:shd w:val="clear" w:color="000000" w:fill="FFFFFF"/>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15/09/18</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427,275.00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427,275.00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427,275.00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355,180.99</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37,636.00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392,816.99</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34,458.01</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91.94%</w:t>
            </w:r>
          </w:p>
        </w:tc>
      </w:tr>
      <w:tr w:rsidR="00FC56B0" w:rsidRPr="00DF2F0D" w:rsidTr="00180C1D">
        <w:trPr>
          <w:trHeight w:val="1030"/>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47002</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Sectorial de Investigación para la Educación (SEP-CONACYT).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Efecto de las macroalgas de tapete en etapas tempranas del coral masivo orbicella annularis en el Caribe Mexicano.</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25/08/16</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25/08/19</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1,500,000.00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702,000.00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447,000.00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1,149,000.00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659,736.37</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322,357.86</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982,094.23</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166,905.77</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65.47%</w:t>
            </w:r>
          </w:p>
        </w:tc>
      </w:tr>
      <w:tr w:rsidR="00FC56B0" w:rsidRPr="00DF2F0D" w:rsidTr="00180C1D">
        <w:trPr>
          <w:trHeight w:val="1261"/>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47003</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INMUJERES-CONACYT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Destajo, tarea, servicio o jornal para mujeres (locales y migrantes) en la agroindustria azucarera: mercado de trabajo frente la reconversión productiva</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18/04/18</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18/04/19</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2,000,000.00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929,000.00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929,000.00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44,627.00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44,627.00</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884,373.00</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2.23%</w:t>
            </w:r>
          </w:p>
        </w:tc>
      </w:tr>
      <w:tr w:rsidR="00FC56B0" w:rsidRPr="00DF2F0D" w:rsidTr="00180C1D">
        <w:trPr>
          <w:trHeight w:val="1261"/>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lastRenderedPageBreak/>
              <w:t>47004</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CONACYT-CONAFOR</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Diseño de un sistema de manejo forestal para selvas productivas de México.</w:t>
            </w:r>
          </w:p>
        </w:tc>
        <w:tc>
          <w:tcPr>
            <w:tcW w:w="318" w:type="dxa"/>
            <w:tcBorders>
              <w:top w:val="single" w:sz="4" w:space="0" w:color="auto"/>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08/05/18</w:t>
            </w:r>
          </w:p>
        </w:tc>
        <w:tc>
          <w:tcPr>
            <w:tcW w:w="331" w:type="dxa"/>
            <w:tcBorders>
              <w:top w:val="single" w:sz="4" w:space="0" w:color="auto"/>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07/05/20</w:t>
            </w:r>
          </w:p>
        </w:tc>
        <w:tc>
          <w:tcPr>
            <w:tcW w:w="260" w:type="dxa"/>
            <w:tcBorders>
              <w:top w:val="single" w:sz="4" w:space="0" w:color="auto"/>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3,103,449.80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578,000.00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578,000.00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186,811.74</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186,811.74</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391,188.26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6.02%</w:t>
            </w:r>
          </w:p>
        </w:tc>
      </w:tr>
      <w:tr w:rsidR="00FC56B0" w:rsidRPr="00DF2F0D" w:rsidTr="00180C1D">
        <w:trPr>
          <w:trHeight w:val="1261"/>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56004</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Consejo Nacional de Ciencia y Tecnología (CONACYT)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Sexto taller de ciencia para jóvenes Campeche 2018</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14/06/18</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31/12/18</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100,000.00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100,000.00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100,000.00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100,000.00</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r>
      <w:tr w:rsidR="00FC56B0" w:rsidRPr="00DF2F0D" w:rsidTr="00180C1D">
        <w:trPr>
          <w:trHeight w:val="1307"/>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57001</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Sectorial de Investigación para la Educación (SEP-CONACYT).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¿Es la alteración de sistemas tradicionales de subsistencia responsable del desarrollo de un fenotipo frugal en poblaciones indígenas rurales?</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27/03/15</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26/03/18</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AD306C"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24/08/19</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1,731,000.00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1,664,800.00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66,200.00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1,731,000.00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1,256,727.26</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285,499.56</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1,542,226.82</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188,773.18</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89.09%</w:t>
            </w:r>
          </w:p>
        </w:tc>
      </w:tr>
      <w:tr w:rsidR="00FC56B0" w:rsidRPr="00DF2F0D" w:rsidTr="00180C1D">
        <w:trPr>
          <w:trHeight w:val="1415"/>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57002</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Fondo de Cooperación Internacional en Ciencia y Tecnología del CONACYT (FONCICYT)</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Desarrollo de experimentos en mesocosmos para evaluar la vulnerabilidad de los ecosistemas marinos ocasionada por la actividad petrolera: comparación latitudinal</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09/05/16</w:t>
            </w:r>
          </w:p>
        </w:tc>
        <w:tc>
          <w:tcPr>
            <w:tcW w:w="331"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31/05/18</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AD306C"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30/11/18</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444,000.00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296,000.00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296,000.00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134,990.00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91,861.74</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226,851.74</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69,148.26</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51.09%</w:t>
            </w:r>
          </w:p>
        </w:tc>
      </w:tr>
      <w:tr w:rsidR="00FC56B0" w:rsidRPr="00DF2F0D" w:rsidTr="00180C1D">
        <w:trPr>
          <w:trHeight w:val="1707"/>
          <w:jc w:val="center"/>
        </w:trPr>
        <w:tc>
          <w:tcPr>
            <w:tcW w:w="672" w:type="dxa"/>
            <w:tcBorders>
              <w:top w:val="nil"/>
              <w:left w:val="single" w:sz="4" w:space="0" w:color="auto"/>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66001</w:t>
            </w:r>
          </w:p>
        </w:tc>
        <w:tc>
          <w:tcPr>
            <w:tcW w:w="1016"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Programa de Fomento, Formación, Desarrollo y Vinculación de Recursos Humanos de Alto Nivel.</w:t>
            </w:r>
          </w:p>
        </w:tc>
        <w:tc>
          <w:tcPr>
            <w:tcW w:w="2335"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left"/>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Estancias posdoctorales vinculadas al fortalecimiento de la calidad del posgrado nacional</w:t>
            </w:r>
          </w:p>
        </w:tc>
        <w:tc>
          <w:tcPr>
            <w:tcW w:w="318" w:type="dxa"/>
            <w:tcBorders>
              <w:top w:val="nil"/>
              <w:left w:val="nil"/>
              <w:bottom w:val="single" w:sz="4" w:space="0" w:color="auto"/>
              <w:right w:val="single" w:sz="4" w:space="0" w:color="auto"/>
            </w:tcBorders>
            <w:shd w:val="clear" w:color="000000" w:fill="FFFFFF"/>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01/02/16</w:t>
            </w:r>
          </w:p>
        </w:tc>
        <w:tc>
          <w:tcPr>
            <w:tcW w:w="331" w:type="dxa"/>
            <w:tcBorders>
              <w:top w:val="nil"/>
              <w:left w:val="nil"/>
              <w:bottom w:val="single" w:sz="4" w:space="0" w:color="auto"/>
              <w:right w:val="single" w:sz="4" w:space="0" w:color="auto"/>
            </w:tcBorders>
            <w:shd w:val="clear" w:color="000000" w:fill="FFFFFF"/>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r w:rsidRPr="00DF2F0D">
              <w:rPr>
                <w:rFonts w:ascii="Calibri" w:eastAsia="Times New Roman" w:hAnsi="Calibri" w:cs="Arial"/>
                <w:color w:val="000000"/>
                <w:kern w:val="0"/>
                <w:sz w:val="14"/>
                <w:szCs w:val="14"/>
                <w:lang w:val="es-ES_tradnl" w:eastAsia="es-MX" w:bidi="ar-SA"/>
              </w:rPr>
              <w:t>31/07/18</w:t>
            </w:r>
          </w:p>
        </w:tc>
        <w:tc>
          <w:tcPr>
            <w:tcW w:w="260" w:type="dxa"/>
            <w:tcBorders>
              <w:top w:val="nil"/>
              <w:left w:val="nil"/>
              <w:bottom w:val="single" w:sz="4" w:space="0" w:color="auto"/>
              <w:right w:val="single" w:sz="4" w:space="0" w:color="auto"/>
            </w:tcBorders>
            <w:shd w:val="clear" w:color="auto" w:fill="auto"/>
            <w:textDirection w:val="btLr"/>
            <w:vAlign w:val="center"/>
            <w:hideMark/>
          </w:tcPr>
          <w:p w:rsidR="00FC56B0" w:rsidRPr="00DF2F0D" w:rsidRDefault="00FC56B0" w:rsidP="00FC56B0">
            <w:pPr>
              <w:widowControl/>
              <w:spacing w:line="240" w:lineRule="auto"/>
              <w:jc w:val="center"/>
              <w:rPr>
                <w:rFonts w:ascii="Calibri" w:eastAsia="Times New Roman" w:hAnsi="Calibri" w:cs="Arial"/>
                <w:color w:val="000000"/>
                <w:kern w:val="0"/>
                <w:sz w:val="14"/>
                <w:szCs w:val="14"/>
                <w:lang w:val="es-ES_tradnl" w:eastAsia="es-MX" w:bidi="ar-SA"/>
              </w:rPr>
            </w:pP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2,629,499.72</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2,629,647.67</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2,629,647.67</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2,247,000.00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299,000.00</w:t>
            </w:r>
          </w:p>
        </w:tc>
        <w:tc>
          <w:tcPr>
            <w:tcW w:w="103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2,546,000.00</w:t>
            </w:r>
          </w:p>
        </w:tc>
        <w:tc>
          <w:tcPr>
            <w:tcW w:w="1128"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right"/>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83,647.67</w:t>
            </w:r>
          </w:p>
        </w:tc>
        <w:tc>
          <w:tcPr>
            <w:tcW w:w="850" w:type="dxa"/>
            <w:tcBorders>
              <w:top w:val="nil"/>
              <w:left w:val="nil"/>
              <w:bottom w:val="single" w:sz="4" w:space="0" w:color="auto"/>
              <w:right w:val="single" w:sz="4" w:space="0" w:color="auto"/>
            </w:tcBorders>
            <w:shd w:val="clear" w:color="auto" w:fill="auto"/>
            <w:vAlign w:val="center"/>
            <w:hideMark/>
          </w:tcPr>
          <w:p w:rsidR="00FC56B0" w:rsidRPr="00DF2F0D" w:rsidRDefault="00FC56B0" w:rsidP="00FC56B0">
            <w:pPr>
              <w:widowControl/>
              <w:spacing w:line="240" w:lineRule="auto"/>
              <w:jc w:val="center"/>
              <w:rPr>
                <w:rFonts w:eastAsia="Times New Roman" w:cs="Arial"/>
                <w:color w:val="000000"/>
                <w:kern w:val="0"/>
                <w:sz w:val="14"/>
                <w:szCs w:val="14"/>
                <w:lang w:val="es-ES_tradnl" w:eastAsia="es-MX" w:bidi="ar-SA"/>
              </w:rPr>
            </w:pPr>
            <w:r w:rsidRPr="00DF2F0D">
              <w:rPr>
                <w:rFonts w:eastAsia="Times New Roman" w:cs="Arial"/>
                <w:color w:val="000000"/>
                <w:kern w:val="0"/>
                <w:sz w:val="14"/>
                <w:szCs w:val="14"/>
                <w:lang w:val="es-ES_tradnl" w:eastAsia="es-MX" w:bidi="ar-SA"/>
              </w:rPr>
              <w:t>96.82%</w:t>
            </w:r>
          </w:p>
        </w:tc>
      </w:tr>
      <w:tr w:rsidR="00FC56B0" w:rsidRPr="00DF2F0D" w:rsidTr="00180C1D">
        <w:trPr>
          <w:trHeight w:val="431"/>
          <w:jc w:val="center"/>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FC56B0" w:rsidRPr="00DF2F0D" w:rsidRDefault="00FC56B0" w:rsidP="00FC56B0">
            <w:pPr>
              <w:widowControl/>
              <w:spacing w:line="240" w:lineRule="auto"/>
              <w:jc w:val="left"/>
              <w:rPr>
                <w:rFonts w:eastAsia="Times New Roman" w:cs="Arial"/>
                <w:b/>
                <w:bCs/>
                <w:kern w:val="0"/>
                <w:sz w:val="14"/>
                <w:szCs w:val="14"/>
                <w:lang w:val="es-ES_tradnl" w:eastAsia="es-MX" w:bidi="ar-SA"/>
              </w:rPr>
            </w:pPr>
            <w:r w:rsidRPr="00DF2F0D">
              <w:rPr>
                <w:rFonts w:eastAsia="Times New Roman" w:cs="Arial"/>
                <w:b/>
                <w:bCs/>
                <w:kern w:val="0"/>
                <w:sz w:val="14"/>
                <w:szCs w:val="14"/>
                <w:lang w:val="es-ES_tradnl" w:eastAsia="es-MX" w:bidi="ar-SA"/>
              </w:rPr>
              <w:t> </w:t>
            </w:r>
          </w:p>
        </w:tc>
        <w:tc>
          <w:tcPr>
            <w:tcW w:w="33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C56B0" w:rsidRPr="00DF2F0D" w:rsidRDefault="00FC56B0" w:rsidP="00FC56B0">
            <w:pPr>
              <w:widowControl/>
              <w:spacing w:line="240" w:lineRule="auto"/>
              <w:jc w:val="left"/>
              <w:rPr>
                <w:rFonts w:eastAsia="Times New Roman" w:cs="Arial"/>
                <w:b/>
                <w:bCs/>
                <w:kern w:val="0"/>
                <w:sz w:val="14"/>
                <w:szCs w:val="14"/>
                <w:lang w:val="es-ES_tradnl" w:eastAsia="es-MX" w:bidi="ar-SA"/>
              </w:rPr>
            </w:pPr>
            <w:r w:rsidRPr="00DF2F0D">
              <w:rPr>
                <w:rFonts w:eastAsia="Times New Roman" w:cs="Arial"/>
                <w:b/>
                <w:bCs/>
                <w:kern w:val="0"/>
                <w:sz w:val="14"/>
                <w:szCs w:val="14"/>
                <w:lang w:val="es-ES_tradnl" w:eastAsia="es-MX" w:bidi="ar-SA"/>
              </w:rPr>
              <w:t>Suma total.-</w:t>
            </w:r>
          </w:p>
        </w:tc>
        <w:tc>
          <w:tcPr>
            <w:tcW w:w="318" w:type="dxa"/>
            <w:tcBorders>
              <w:top w:val="nil"/>
              <w:left w:val="nil"/>
              <w:bottom w:val="single" w:sz="4" w:space="0" w:color="auto"/>
              <w:right w:val="single" w:sz="4" w:space="0" w:color="auto"/>
            </w:tcBorders>
            <w:shd w:val="clear" w:color="auto" w:fill="auto"/>
            <w:noWrap/>
            <w:textDirection w:val="btLr"/>
            <w:vAlign w:val="center"/>
            <w:hideMark/>
          </w:tcPr>
          <w:p w:rsidR="00FC56B0" w:rsidRPr="00DF2F0D" w:rsidRDefault="00FC56B0" w:rsidP="00FC56B0">
            <w:pPr>
              <w:widowControl/>
              <w:spacing w:line="240" w:lineRule="auto"/>
              <w:jc w:val="left"/>
              <w:rPr>
                <w:rFonts w:ascii="Calibri" w:eastAsia="Times New Roman" w:hAnsi="Calibri" w:cs="Arial"/>
                <w:b/>
                <w:bCs/>
                <w:kern w:val="0"/>
                <w:sz w:val="14"/>
                <w:szCs w:val="14"/>
                <w:lang w:val="es-ES_tradnl" w:eastAsia="es-MX" w:bidi="ar-SA"/>
              </w:rPr>
            </w:pPr>
            <w:r w:rsidRPr="00DF2F0D">
              <w:rPr>
                <w:rFonts w:ascii="Calibri" w:eastAsia="Times New Roman" w:hAnsi="Calibri" w:cs="Arial"/>
                <w:b/>
                <w:bCs/>
                <w:kern w:val="0"/>
                <w:sz w:val="14"/>
                <w:szCs w:val="14"/>
                <w:lang w:val="es-ES_tradnl" w:eastAsia="es-MX" w:bidi="ar-SA"/>
              </w:rPr>
              <w:t> </w:t>
            </w:r>
          </w:p>
        </w:tc>
        <w:tc>
          <w:tcPr>
            <w:tcW w:w="331" w:type="dxa"/>
            <w:tcBorders>
              <w:top w:val="nil"/>
              <w:left w:val="nil"/>
              <w:bottom w:val="single" w:sz="4" w:space="0" w:color="auto"/>
              <w:right w:val="single" w:sz="4" w:space="0" w:color="auto"/>
            </w:tcBorders>
            <w:shd w:val="clear" w:color="auto" w:fill="auto"/>
            <w:noWrap/>
            <w:textDirection w:val="btLr"/>
            <w:vAlign w:val="center"/>
            <w:hideMark/>
          </w:tcPr>
          <w:p w:rsidR="00FC56B0" w:rsidRPr="00DF2F0D" w:rsidRDefault="00FC56B0" w:rsidP="00FC56B0">
            <w:pPr>
              <w:widowControl/>
              <w:spacing w:line="240" w:lineRule="auto"/>
              <w:jc w:val="left"/>
              <w:rPr>
                <w:rFonts w:ascii="Calibri" w:eastAsia="Times New Roman" w:hAnsi="Calibri" w:cs="Arial"/>
                <w:b/>
                <w:bCs/>
                <w:kern w:val="0"/>
                <w:sz w:val="14"/>
                <w:szCs w:val="14"/>
                <w:lang w:val="es-ES_tradnl" w:eastAsia="es-MX" w:bidi="ar-SA"/>
              </w:rPr>
            </w:pPr>
            <w:r w:rsidRPr="00DF2F0D">
              <w:rPr>
                <w:rFonts w:ascii="Calibri" w:eastAsia="Times New Roman" w:hAnsi="Calibri" w:cs="Arial"/>
                <w:b/>
                <w:bCs/>
                <w:kern w:val="0"/>
                <w:sz w:val="14"/>
                <w:szCs w:val="14"/>
                <w:lang w:val="es-ES_tradnl" w:eastAsia="es-MX" w:bidi="ar-SA"/>
              </w:rPr>
              <w:t> </w:t>
            </w:r>
          </w:p>
        </w:tc>
        <w:tc>
          <w:tcPr>
            <w:tcW w:w="260" w:type="dxa"/>
            <w:tcBorders>
              <w:top w:val="nil"/>
              <w:left w:val="nil"/>
              <w:bottom w:val="single" w:sz="4" w:space="0" w:color="auto"/>
              <w:right w:val="single" w:sz="4" w:space="0" w:color="auto"/>
            </w:tcBorders>
            <w:shd w:val="clear" w:color="auto" w:fill="auto"/>
            <w:noWrap/>
            <w:textDirection w:val="btLr"/>
            <w:vAlign w:val="center"/>
            <w:hideMark/>
          </w:tcPr>
          <w:p w:rsidR="00FC56B0" w:rsidRPr="00DF2F0D" w:rsidRDefault="00FC56B0" w:rsidP="00FC56B0">
            <w:pPr>
              <w:widowControl/>
              <w:spacing w:line="240" w:lineRule="auto"/>
              <w:jc w:val="left"/>
              <w:rPr>
                <w:rFonts w:ascii="Calibri" w:eastAsia="Times New Roman" w:hAnsi="Calibri" w:cs="Arial"/>
                <w:b/>
                <w:bCs/>
                <w:kern w:val="0"/>
                <w:sz w:val="14"/>
                <w:szCs w:val="14"/>
                <w:lang w:val="es-ES_tradnl" w:eastAsia="es-MX" w:bidi="ar-SA"/>
              </w:rPr>
            </w:pPr>
            <w:r w:rsidRPr="00DF2F0D">
              <w:rPr>
                <w:rFonts w:ascii="Calibri" w:eastAsia="Times New Roman" w:hAnsi="Calibri" w:cs="Arial"/>
                <w:b/>
                <w:bCs/>
                <w:kern w:val="0"/>
                <w:sz w:val="14"/>
                <w:szCs w:val="14"/>
                <w:lang w:val="es-ES_tradnl" w:eastAsia="es-MX" w:bidi="ar-SA"/>
              </w:rPr>
              <w:t> </w:t>
            </w:r>
          </w:p>
        </w:tc>
        <w:tc>
          <w:tcPr>
            <w:tcW w:w="1038" w:type="dxa"/>
            <w:tcBorders>
              <w:top w:val="nil"/>
              <w:left w:val="nil"/>
              <w:bottom w:val="single" w:sz="4" w:space="0" w:color="auto"/>
              <w:right w:val="single" w:sz="4" w:space="0" w:color="auto"/>
            </w:tcBorders>
            <w:shd w:val="clear" w:color="auto" w:fill="auto"/>
            <w:noWrap/>
            <w:vAlign w:val="center"/>
            <w:hideMark/>
          </w:tcPr>
          <w:p w:rsidR="00FC56B0" w:rsidRPr="00DF2F0D" w:rsidRDefault="00FC56B0" w:rsidP="00FC56B0">
            <w:pPr>
              <w:widowControl/>
              <w:spacing w:line="240" w:lineRule="auto"/>
              <w:jc w:val="right"/>
              <w:rPr>
                <w:rFonts w:eastAsia="Times New Roman" w:cs="Arial"/>
                <w:b/>
                <w:bCs/>
                <w:color w:val="000000"/>
                <w:kern w:val="0"/>
                <w:sz w:val="14"/>
                <w:szCs w:val="14"/>
                <w:lang w:val="es-ES_tradnl" w:eastAsia="es-MX" w:bidi="ar-SA"/>
              </w:rPr>
            </w:pPr>
            <w:r w:rsidRPr="00DF2F0D">
              <w:rPr>
                <w:rFonts w:eastAsia="Times New Roman" w:cs="Arial"/>
                <w:b/>
                <w:bCs/>
                <w:color w:val="000000"/>
                <w:kern w:val="0"/>
                <w:sz w:val="14"/>
                <w:szCs w:val="14"/>
                <w:lang w:val="es-ES_tradnl" w:eastAsia="es-MX" w:bidi="ar-SA"/>
              </w:rPr>
              <w:t>42,937,341.71</w:t>
            </w:r>
          </w:p>
        </w:tc>
        <w:tc>
          <w:tcPr>
            <w:tcW w:w="1038" w:type="dxa"/>
            <w:tcBorders>
              <w:top w:val="nil"/>
              <w:left w:val="nil"/>
              <w:bottom w:val="single" w:sz="4" w:space="0" w:color="auto"/>
              <w:right w:val="single" w:sz="4" w:space="0" w:color="auto"/>
            </w:tcBorders>
            <w:shd w:val="clear" w:color="auto" w:fill="auto"/>
            <w:noWrap/>
            <w:vAlign w:val="center"/>
            <w:hideMark/>
          </w:tcPr>
          <w:p w:rsidR="00FC56B0" w:rsidRPr="00DF2F0D" w:rsidRDefault="00FC56B0" w:rsidP="00FC56B0">
            <w:pPr>
              <w:widowControl/>
              <w:spacing w:line="240" w:lineRule="auto"/>
              <w:jc w:val="right"/>
              <w:rPr>
                <w:rFonts w:eastAsia="Times New Roman" w:cs="Arial"/>
                <w:b/>
                <w:bCs/>
                <w:color w:val="000000"/>
                <w:kern w:val="0"/>
                <w:sz w:val="14"/>
                <w:szCs w:val="14"/>
                <w:lang w:val="es-ES_tradnl" w:eastAsia="es-MX" w:bidi="ar-SA"/>
              </w:rPr>
            </w:pPr>
            <w:r w:rsidRPr="00DF2F0D">
              <w:rPr>
                <w:rFonts w:eastAsia="Times New Roman" w:cs="Arial"/>
                <w:b/>
                <w:bCs/>
                <w:color w:val="000000"/>
                <w:kern w:val="0"/>
                <w:sz w:val="14"/>
                <w:szCs w:val="14"/>
                <w:lang w:val="es-ES_tradnl" w:eastAsia="es-MX" w:bidi="ar-SA"/>
              </w:rPr>
              <w:t>19,459,324.87</w:t>
            </w:r>
          </w:p>
        </w:tc>
        <w:tc>
          <w:tcPr>
            <w:tcW w:w="1038" w:type="dxa"/>
            <w:tcBorders>
              <w:top w:val="nil"/>
              <w:left w:val="nil"/>
              <w:bottom w:val="single" w:sz="4" w:space="0" w:color="auto"/>
              <w:right w:val="single" w:sz="4" w:space="0" w:color="auto"/>
            </w:tcBorders>
            <w:shd w:val="clear" w:color="auto" w:fill="auto"/>
            <w:noWrap/>
            <w:vAlign w:val="center"/>
            <w:hideMark/>
          </w:tcPr>
          <w:p w:rsidR="00FC56B0" w:rsidRPr="00DF2F0D" w:rsidRDefault="00FC56B0" w:rsidP="00FC56B0">
            <w:pPr>
              <w:widowControl/>
              <w:spacing w:line="240" w:lineRule="auto"/>
              <w:jc w:val="right"/>
              <w:rPr>
                <w:rFonts w:eastAsia="Times New Roman" w:cs="Arial"/>
                <w:b/>
                <w:bCs/>
                <w:color w:val="000000"/>
                <w:kern w:val="0"/>
                <w:sz w:val="14"/>
                <w:szCs w:val="14"/>
                <w:lang w:val="es-ES_tradnl" w:eastAsia="es-MX" w:bidi="ar-SA"/>
              </w:rPr>
            </w:pPr>
            <w:r w:rsidRPr="00DF2F0D">
              <w:rPr>
                <w:rFonts w:eastAsia="Times New Roman" w:cs="Arial"/>
                <w:b/>
                <w:bCs/>
                <w:color w:val="000000"/>
                <w:kern w:val="0"/>
                <w:sz w:val="14"/>
                <w:szCs w:val="14"/>
                <w:lang w:val="es-ES_tradnl" w:eastAsia="es-MX" w:bidi="ar-SA"/>
              </w:rPr>
              <w:t>16,015,897.53</w:t>
            </w:r>
          </w:p>
        </w:tc>
        <w:tc>
          <w:tcPr>
            <w:tcW w:w="1038" w:type="dxa"/>
            <w:tcBorders>
              <w:top w:val="nil"/>
              <w:left w:val="nil"/>
              <w:bottom w:val="single" w:sz="4" w:space="0" w:color="auto"/>
              <w:right w:val="single" w:sz="4" w:space="0" w:color="auto"/>
            </w:tcBorders>
            <w:shd w:val="clear" w:color="auto" w:fill="auto"/>
            <w:noWrap/>
            <w:vAlign w:val="center"/>
            <w:hideMark/>
          </w:tcPr>
          <w:p w:rsidR="00FC56B0" w:rsidRPr="00DF2F0D" w:rsidRDefault="00FC56B0" w:rsidP="00FC56B0">
            <w:pPr>
              <w:widowControl/>
              <w:spacing w:line="240" w:lineRule="auto"/>
              <w:jc w:val="right"/>
              <w:rPr>
                <w:rFonts w:eastAsia="Times New Roman" w:cs="Arial"/>
                <w:b/>
                <w:bCs/>
                <w:color w:val="000000"/>
                <w:kern w:val="0"/>
                <w:sz w:val="14"/>
                <w:szCs w:val="14"/>
                <w:lang w:val="es-ES_tradnl" w:eastAsia="es-MX" w:bidi="ar-SA"/>
              </w:rPr>
            </w:pPr>
            <w:r w:rsidRPr="00DF2F0D">
              <w:rPr>
                <w:rFonts w:eastAsia="Times New Roman" w:cs="Arial"/>
                <w:b/>
                <w:bCs/>
                <w:color w:val="000000"/>
                <w:kern w:val="0"/>
                <w:sz w:val="14"/>
                <w:szCs w:val="14"/>
                <w:lang w:val="es-ES_tradnl" w:eastAsia="es-MX" w:bidi="ar-SA"/>
              </w:rPr>
              <w:t>35,475,222.40</w:t>
            </w:r>
          </w:p>
        </w:tc>
        <w:tc>
          <w:tcPr>
            <w:tcW w:w="1038" w:type="dxa"/>
            <w:tcBorders>
              <w:top w:val="nil"/>
              <w:left w:val="nil"/>
              <w:bottom w:val="single" w:sz="4" w:space="0" w:color="auto"/>
              <w:right w:val="single" w:sz="4" w:space="0" w:color="auto"/>
            </w:tcBorders>
            <w:shd w:val="clear" w:color="auto" w:fill="auto"/>
            <w:noWrap/>
            <w:vAlign w:val="center"/>
            <w:hideMark/>
          </w:tcPr>
          <w:p w:rsidR="00FC56B0" w:rsidRPr="00DF2F0D" w:rsidRDefault="00FC56B0" w:rsidP="00FC56B0">
            <w:pPr>
              <w:widowControl/>
              <w:spacing w:line="240" w:lineRule="auto"/>
              <w:jc w:val="right"/>
              <w:rPr>
                <w:rFonts w:eastAsia="Times New Roman" w:cs="Arial"/>
                <w:b/>
                <w:bCs/>
                <w:color w:val="000000"/>
                <w:kern w:val="0"/>
                <w:sz w:val="14"/>
                <w:szCs w:val="14"/>
                <w:lang w:val="es-ES_tradnl" w:eastAsia="es-MX" w:bidi="ar-SA"/>
              </w:rPr>
            </w:pPr>
            <w:r w:rsidRPr="00DF2F0D">
              <w:rPr>
                <w:rFonts w:eastAsia="Times New Roman" w:cs="Arial"/>
                <w:b/>
                <w:bCs/>
                <w:color w:val="000000"/>
                <w:kern w:val="0"/>
                <w:sz w:val="14"/>
                <w:szCs w:val="14"/>
                <w:lang w:val="es-ES_tradnl" w:eastAsia="es-MX" w:bidi="ar-SA"/>
              </w:rPr>
              <w:t>14,902,960.22</w:t>
            </w:r>
          </w:p>
        </w:tc>
        <w:tc>
          <w:tcPr>
            <w:tcW w:w="1038" w:type="dxa"/>
            <w:tcBorders>
              <w:top w:val="nil"/>
              <w:left w:val="nil"/>
              <w:bottom w:val="single" w:sz="4" w:space="0" w:color="auto"/>
              <w:right w:val="single" w:sz="4" w:space="0" w:color="auto"/>
            </w:tcBorders>
            <w:shd w:val="clear" w:color="auto" w:fill="auto"/>
            <w:noWrap/>
            <w:vAlign w:val="center"/>
            <w:hideMark/>
          </w:tcPr>
          <w:p w:rsidR="00FC56B0" w:rsidRPr="00DF2F0D" w:rsidRDefault="00FC56B0" w:rsidP="00FC56B0">
            <w:pPr>
              <w:widowControl/>
              <w:spacing w:line="240" w:lineRule="auto"/>
              <w:jc w:val="right"/>
              <w:rPr>
                <w:rFonts w:eastAsia="Times New Roman" w:cs="Arial"/>
                <w:b/>
                <w:bCs/>
                <w:color w:val="000000"/>
                <w:kern w:val="0"/>
                <w:sz w:val="14"/>
                <w:szCs w:val="14"/>
                <w:lang w:val="es-ES_tradnl" w:eastAsia="es-MX" w:bidi="ar-SA"/>
              </w:rPr>
            </w:pPr>
            <w:r w:rsidRPr="00DF2F0D">
              <w:rPr>
                <w:rFonts w:eastAsia="Times New Roman" w:cs="Arial"/>
                <w:b/>
                <w:bCs/>
                <w:color w:val="000000"/>
                <w:kern w:val="0"/>
                <w:sz w:val="14"/>
                <w:szCs w:val="14"/>
                <w:lang w:val="es-ES_tradnl" w:eastAsia="es-MX" w:bidi="ar-SA"/>
              </w:rPr>
              <w:t>4,064,175.48</w:t>
            </w:r>
          </w:p>
        </w:tc>
        <w:tc>
          <w:tcPr>
            <w:tcW w:w="1038" w:type="dxa"/>
            <w:tcBorders>
              <w:top w:val="nil"/>
              <w:left w:val="nil"/>
              <w:bottom w:val="single" w:sz="4" w:space="0" w:color="auto"/>
              <w:right w:val="single" w:sz="4" w:space="0" w:color="auto"/>
            </w:tcBorders>
            <w:shd w:val="clear" w:color="auto" w:fill="auto"/>
            <w:noWrap/>
            <w:vAlign w:val="center"/>
            <w:hideMark/>
          </w:tcPr>
          <w:p w:rsidR="00FC56B0" w:rsidRPr="00DF2F0D" w:rsidRDefault="00FC56B0" w:rsidP="00FC56B0">
            <w:pPr>
              <w:widowControl/>
              <w:spacing w:line="240" w:lineRule="auto"/>
              <w:jc w:val="right"/>
              <w:rPr>
                <w:rFonts w:eastAsia="Times New Roman" w:cs="Arial"/>
                <w:b/>
                <w:bCs/>
                <w:color w:val="000000"/>
                <w:kern w:val="0"/>
                <w:sz w:val="14"/>
                <w:szCs w:val="14"/>
                <w:lang w:val="es-ES_tradnl" w:eastAsia="es-MX" w:bidi="ar-SA"/>
              </w:rPr>
            </w:pPr>
            <w:r w:rsidRPr="00DF2F0D">
              <w:rPr>
                <w:rFonts w:eastAsia="Times New Roman" w:cs="Arial"/>
                <w:b/>
                <w:bCs/>
                <w:color w:val="000000"/>
                <w:kern w:val="0"/>
                <w:sz w:val="14"/>
                <w:szCs w:val="14"/>
                <w:lang w:val="es-ES_tradnl" w:eastAsia="es-MX" w:bidi="ar-SA"/>
              </w:rPr>
              <w:t>18,967,135.70</w:t>
            </w:r>
          </w:p>
        </w:tc>
        <w:tc>
          <w:tcPr>
            <w:tcW w:w="1128" w:type="dxa"/>
            <w:tcBorders>
              <w:top w:val="nil"/>
              <w:left w:val="nil"/>
              <w:bottom w:val="single" w:sz="4" w:space="0" w:color="auto"/>
              <w:right w:val="single" w:sz="4" w:space="0" w:color="auto"/>
            </w:tcBorders>
            <w:shd w:val="clear" w:color="auto" w:fill="auto"/>
            <w:noWrap/>
            <w:vAlign w:val="center"/>
            <w:hideMark/>
          </w:tcPr>
          <w:p w:rsidR="00FC56B0" w:rsidRPr="00DF2F0D" w:rsidRDefault="00FC56B0" w:rsidP="00FC56B0">
            <w:pPr>
              <w:widowControl/>
              <w:spacing w:line="240" w:lineRule="auto"/>
              <w:jc w:val="right"/>
              <w:rPr>
                <w:rFonts w:eastAsia="Times New Roman" w:cs="Arial"/>
                <w:b/>
                <w:bCs/>
                <w:color w:val="000000"/>
                <w:kern w:val="0"/>
                <w:sz w:val="14"/>
                <w:szCs w:val="14"/>
                <w:lang w:val="es-ES_tradnl" w:eastAsia="es-MX" w:bidi="ar-SA"/>
              </w:rPr>
            </w:pPr>
            <w:r w:rsidRPr="00DF2F0D">
              <w:rPr>
                <w:rFonts w:eastAsia="Times New Roman" w:cs="Arial"/>
                <w:b/>
                <w:bCs/>
                <w:color w:val="000000"/>
                <w:kern w:val="0"/>
                <w:sz w:val="14"/>
                <w:szCs w:val="14"/>
                <w:lang w:val="es-ES_tradnl" w:eastAsia="es-MX" w:bidi="ar-SA"/>
              </w:rPr>
              <w:t>16,508,086.70</w:t>
            </w:r>
          </w:p>
        </w:tc>
        <w:tc>
          <w:tcPr>
            <w:tcW w:w="850" w:type="dxa"/>
            <w:tcBorders>
              <w:top w:val="nil"/>
              <w:left w:val="nil"/>
              <w:bottom w:val="single" w:sz="4" w:space="0" w:color="auto"/>
              <w:right w:val="single" w:sz="4" w:space="0" w:color="auto"/>
            </w:tcBorders>
            <w:shd w:val="clear" w:color="auto" w:fill="auto"/>
            <w:noWrap/>
            <w:vAlign w:val="center"/>
            <w:hideMark/>
          </w:tcPr>
          <w:p w:rsidR="00FC56B0" w:rsidRPr="00DF2F0D" w:rsidRDefault="00FC56B0" w:rsidP="00FC56B0">
            <w:pPr>
              <w:widowControl/>
              <w:spacing w:line="240" w:lineRule="auto"/>
              <w:jc w:val="center"/>
              <w:rPr>
                <w:rFonts w:eastAsia="Times New Roman" w:cs="Arial"/>
                <w:b/>
                <w:bCs/>
                <w:color w:val="000000"/>
                <w:kern w:val="0"/>
                <w:sz w:val="14"/>
                <w:szCs w:val="14"/>
                <w:lang w:val="es-ES_tradnl" w:eastAsia="es-MX" w:bidi="ar-SA"/>
              </w:rPr>
            </w:pPr>
            <w:r w:rsidRPr="00DF2F0D">
              <w:rPr>
                <w:rFonts w:eastAsia="Times New Roman" w:cs="Arial"/>
                <w:b/>
                <w:bCs/>
                <w:color w:val="000000"/>
                <w:kern w:val="0"/>
                <w:sz w:val="14"/>
                <w:szCs w:val="14"/>
                <w:lang w:val="es-ES_tradnl" w:eastAsia="es-MX" w:bidi="ar-SA"/>
              </w:rPr>
              <w:t>44.17%</w:t>
            </w:r>
          </w:p>
        </w:tc>
      </w:tr>
    </w:tbl>
    <w:p w:rsidR="00FC56B0" w:rsidRPr="00DF2F0D" w:rsidRDefault="00FC56B0" w:rsidP="00215033">
      <w:pPr>
        <w:spacing w:line="240" w:lineRule="auto"/>
        <w:rPr>
          <w:rFonts w:ascii="Candara" w:hAnsi="Candara"/>
          <w:color w:val="00B0F0"/>
          <w:sz w:val="22"/>
          <w:szCs w:val="22"/>
          <w:lang w:val="es-ES_tradnl"/>
        </w:rPr>
      </w:pPr>
    </w:p>
    <w:p w:rsidR="00FA764F" w:rsidRPr="00DF2F0D" w:rsidRDefault="00FA764F" w:rsidP="00FA764F">
      <w:pPr>
        <w:spacing w:line="240" w:lineRule="auto"/>
        <w:rPr>
          <w:rFonts w:ascii="Candara" w:hAnsi="Candara"/>
          <w:sz w:val="24"/>
          <w:szCs w:val="22"/>
          <w:lang w:val="es-ES_tradnl"/>
        </w:rPr>
      </w:pPr>
      <w:r w:rsidRPr="00DF2F0D">
        <w:rPr>
          <w:rFonts w:ascii="Candara" w:hAnsi="Candara"/>
          <w:sz w:val="24"/>
          <w:szCs w:val="22"/>
          <w:lang w:val="es-ES_tradnl"/>
        </w:rPr>
        <w:t>Responsable de la información</w:t>
      </w:r>
    </w:p>
    <w:p w:rsidR="00E677FA" w:rsidRPr="00DF2F0D" w:rsidRDefault="00E677FA" w:rsidP="00215033">
      <w:pPr>
        <w:spacing w:line="240" w:lineRule="auto"/>
        <w:rPr>
          <w:rFonts w:ascii="Candara" w:hAnsi="Candara"/>
          <w:color w:val="00B0F0"/>
          <w:sz w:val="22"/>
          <w:szCs w:val="22"/>
          <w:lang w:val="es-ES_tradnl"/>
        </w:rPr>
      </w:pPr>
    </w:p>
    <w:p w:rsidR="00E677FA" w:rsidRPr="00DF2F0D" w:rsidRDefault="00E677FA" w:rsidP="00215033">
      <w:pPr>
        <w:spacing w:line="240" w:lineRule="auto"/>
        <w:rPr>
          <w:rFonts w:ascii="Candara" w:hAnsi="Candara"/>
          <w:sz w:val="22"/>
          <w:szCs w:val="22"/>
          <w:lang w:val="es-ES_tradnl"/>
        </w:rPr>
      </w:pPr>
    </w:p>
    <w:p w:rsidR="00180C1D" w:rsidRPr="00DF2F0D" w:rsidRDefault="00E677FA">
      <w:pPr>
        <w:spacing w:line="240" w:lineRule="auto"/>
        <w:rPr>
          <w:rFonts w:ascii="Candara" w:hAnsi="Candara"/>
          <w:b/>
          <w:sz w:val="24"/>
          <w:szCs w:val="22"/>
          <w:lang w:val="es-ES_tradnl"/>
        </w:rPr>
      </w:pPr>
      <w:r w:rsidRPr="00DF2F0D">
        <w:rPr>
          <w:rFonts w:ascii="Candara" w:hAnsi="Candara"/>
          <w:b/>
          <w:sz w:val="24"/>
          <w:szCs w:val="22"/>
          <w:lang w:val="es-ES_tradnl"/>
        </w:rPr>
        <w:t>C.P. Leticia Espinosa Cruz</w:t>
      </w:r>
    </w:p>
    <w:p w:rsidR="00FA764F" w:rsidRPr="00DF2F0D" w:rsidRDefault="00FC56B0">
      <w:pPr>
        <w:spacing w:line="240" w:lineRule="auto"/>
        <w:rPr>
          <w:rFonts w:ascii="Candara" w:hAnsi="Candara"/>
          <w:sz w:val="24"/>
          <w:szCs w:val="22"/>
          <w:lang w:val="es-ES_tradnl"/>
        </w:rPr>
      </w:pPr>
      <w:r w:rsidRPr="00DF2F0D">
        <w:rPr>
          <w:rFonts w:ascii="Candara" w:hAnsi="Candara"/>
          <w:sz w:val="24"/>
          <w:szCs w:val="22"/>
          <w:lang w:val="es-ES_tradnl"/>
        </w:rPr>
        <w:t>Direc</w:t>
      </w:r>
      <w:r w:rsidR="00E677FA" w:rsidRPr="00DF2F0D">
        <w:rPr>
          <w:rFonts w:ascii="Candara" w:hAnsi="Candara"/>
          <w:sz w:val="24"/>
          <w:szCs w:val="22"/>
          <w:lang w:val="es-ES_tradnl"/>
        </w:rPr>
        <w:t xml:space="preserve">tora de </w:t>
      </w:r>
      <w:r w:rsidRPr="00DF2F0D">
        <w:rPr>
          <w:rFonts w:ascii="Candara" w:hAnsi="Candara"/>
          <w:sz w:val="24"/>
          <w:szCs w:val="22"/>
          <w:lang w:val="es-ES_tradnl"/>
        </w:rPr>
        <w:t>Administración</w:t>
      </w:r>
    </w:p>
    <w:sectPr w:rsidR="00FA764F" w:rsidRPr="00DF2F0D" w:rsidSect="00215033">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277B06" w:rsidRDefault="00277B06" w:rsidP="003647F4">
      <w:pPr>
        <w:spacing w:line="240" w:lineRule="auto"/>
      </w:pPr>
      <w:r>
        <w:separator/>
      </w:r>
    </w:p>
  </w:endnote>
  <w:endnote w:type="continuationSeparator" w:id="0">
    <w:p w:rsidR="00277B06" w:rsidRDefault="00277B06" w:rsidP="0036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Yu Gothic UI"/>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1E" w:rsidRDefault="00A76B1E" w:rsidP="00174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6B1E" w:rsidRDefault="00A76B1E" w:rsidP="002D6B5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1E" w:rsidRDefault="00A76B1E" w:rsidP="00174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2F0D">
      <w:rPr>
        <w:rStyle w:val="Nmerodepgina"/>
        <w:noProof/>
      </w:rPr>
      <w:t>11</w:t>
    </w:r>
    <w:r>
      <w:rPr>
        <w:rStyle w:val="Nmerodepgina"/>
      </w:rPr>
      <w:fldChar w:fldCharType="end"/>
    </w:r>
  </w:p>
  <w:p w:rsidR="00A76B1E" w:rsidRDefault="00A76B1E" w:rsidP="002D6B5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277B06" w:rsidRDefault="00277B06" w:rsidP="003647F4">
      <w:pPr>
        <w:spacing w:line="240" w:lineRule="auto"/>
      </w:pPr>
      <w:r>
        <w:separator/>
      </w:r>
    </w:p>
  </w:footnote>
  <w:footnote w:type="continuationSeparator" w:id="0">
    <w:p w:rsidR="00277B06" w:rsidRDefault="00277B06" w:rsidP="003647F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2">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4">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5">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7">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10">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3">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4"/>
  </w:num>
  <w:num w:numId="4">
    <w:abstractNumId w:val="3"/>
  </w:num>
  <w:num w:numId="5">
    <w:abstractNumId w:val="9"/>
  </w:num>
  <w:num w:numId="6">
    <w:abstractNumId w:val="4"/>
  </w:num>
  <w:num w:numId="7">
    <w:abstractNumId w:val="6"/>
  </w:num>
  <w:num w:numId="8">
    <w:abstractNumId w:val="12"/>
  </w:num>
  <w:num w:numId="9">
    <w:abstractNumId w:val="7"/>
  </w:num>
  <w:num w:numId="10">
    <w:abstractNumId w:val="10"/>
  </w:num>
  <w:num w:numId="11">
    <w:abstractNumId w:val="13"/>
  </w:num>
  <w:num w:numId="12">
    <w:abstractNumId w:val="5"/>
  </w:num>
  <w:num w:numId="13">
    <w:abstractNumId w:val="0"/>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F1"/>
    <w:rsid w:val="000024FF"/>
    <w:rsid w:val="0000351C"/>
    <w:rsid w:val="00004052"/>
    <w:rsid w:val="0000426D"/>
    <w:rsid w:val="000049E8"/>
    <w:rsid w:val="00004FA9"/>
    <w:rsid w:val="00007A56"/>
    <w:rsid w:val="000131B9"/>
    <w:rsid w:val="00015BD5"/>
    <w:rsid w:val="00015F59"/>
    <w:rsid w:val="00020290"/>
    <w:rsid w:val="000216CF"/>
    <w:rsid w:val="00022243"/>
    <w:rsid w:val="00023050"/>
    <w:rsid w:val="0002429F"/>
    <w:rsid w:val="00025827"/>
    <w:rsid w:val="00025F62"/>
    <w:rsid w:val="0003076A"/>
    <w:rsid w:val="000332C4"/>
    <w:rsid w:val="000347F8"/>
    <w:rsid w:val="0003562A"/>
    <w:rsid w:val="00042672"/>
    <w:rsid w:val="000428BB"/>
    <w:rsid w:val="00043A0A"/>
    <w:rsid w:val="00044113"/>
    <w:rsid w:val="000475BD"/>
    <w:rsid w:val="0005059D"/>
    <w:rsid w:val="000507D1"/>
    <w:rsid w:val="00053825"/>
    <w:rsid w:val="00055DC9"/>
    <w:rsid w:val="00066CE3"/>
    <w:rsid w:val="00070F22"/>
    <w:rsid w:val="00073BAF"/>
    <w:rsid w:val="00073CCC"/>
    <w:rsid w:val="00075208"/>
    <w:rsid w:val="00076809"/>
    <w:rsid w:val="000771D1"/>
    <w:rsid w:val="00080600"/>
    <w:rsid w:val="00083F7D"/>
    <w:rsid w:val="000913B2"/>
    <w:rsid w:val="00094DD7"/>
    <w:rsid w:val="00096C56"/>
    <w:rsid w:val="000A0084"/>
    <w:rsid w:val="000A02DD"/>
    <w:rsid w:val="000A17C6"/>
    <w:rsid w:val="000A24CE"/>
    <w:rsid w:val="000A28E0"/>
    <w:rsid w:val="000A6AC1"/>
    <w:rsid w:val="000B1000"/>
    <w:rsid w:val="000B798E"/>
    <w:rsid w:val="000C04FF"/>
    <w:rsid w:val="000C2F93"/>
    <w:rsid w:val="000C38CD"/>
    <w:rsid w:val="000C6F56"/>
    <w:rsid w:val="000C7931"/>
    <w:rsid w:val="000D1EE3"/>
    <w:rsid w:val="000D3425"/>
    <w:rsid w:val="000D388E"/>
    <w:rsid w:val="000D3F5D"/>
    <w:rsid w:val="000D439B"/>
    <w:rsid w:val="000D5633"/>
    <w:rsid w:val="000D77E7"/>
    <w:rsid w:val="000E2BEE"/>
    <w:rsid w:val="000F2382"/>
    <w:rsid w:val="000F53D1"/>
    <w:rsid w:val="000F636A"/>
    <w:rsid w:val="000F6F3B"/>
    <w:rsid w:val="000F74D7"/>
    <w:rsid w:val="00101F87"/>
    <w:rsid w:val="001060A5"/>
    <w:rsid w:val="0011085F"/>
    <w:rsid w:val="00110971"/>
    <w:rsid w:val="001160EC"/>
    <w:rsid w:val="0011785C"/>
    <w:rsid w:val="0012157E"/>
    <w:rsid w:val="00122CE1"/>
    <w:rsid w:val="001256D1"/>
    <w:rsid w:val="00125E84"/>
    <w:rsid w:val="0012687C"/>
    <w:rsid w:val="00133668"/>
    <w:rsid w:val="00134658"/>
    <w:rsid w:val="00135B16"/>
    <w:rsid w:val="00141D40"/>
    <w:rsid w:val="0014340B"/>
    <w:rsid w:val="00144351"/>
    <w:rsid w:val="00152BAA"/>
    <w:rsid w:val="00155490"/>
    <w:rsid w:val="0015647F"/>
    <w:rsid w:val="00156DA1"/>
    <w:rsid w:val="0015717F"/>
    <w:rsid w:val="001577C3"/>
    <w:rsid w:val="00157964"/>
    <w:rsid w:val="0016356B"/>
    <w:rsid w:val="00163665"/>
    <w:rsid w:val="00163710"/>
    <w:rsid w:val="00165BC3"/>
    <w:rsid w:val="00167C1A"/>
    <w:rsid w:val="00172CD5"/>
    <w:rsid w:val="00173A65"/>
    <w:rsid w:val="00174A9B"/>
    <w:rsid w:val="0017756D"/>
    <w:rsid w:val="00180C1D"/>
    <w:rsid w:val="00180F39"/>
    <w:rsid w:val="00192141"/>
    <w:rsid w:val="00193E9A"/>
    <w:rsid w:val="001948D1"/>
    <w:rsid w:val="0019491F"/>
    <w:rsid w:val="00194B5B"/>
    <w:rsid w:val="00197C7E"/>
    <w:rsid w:val="001A35E1"/>
    <w:rsid w:val="001A4EF2"/>
    <w:rsid w:val="001A56E3"/>
    <w:rsid w:val="001A7425"/>
    <w:rsid w:val="001B796C"/>
    <w:rsid w:val="001C1BDA"/>
    <w:rsid w:val="001D06BE"/>
    <w:rsid w:val="001D4D2F"/>
    <w:rsid w:val="001D547E"/>
    <w:rsid w:val="001D5D14"/>
    <w:rsid w:val="001D6021"/>
    <w:rsid w:val="001E1C33"/>
    <w:rsid w:val="001E6DDB"/>
    <w:rsid w:val="001F2080"/>
    <w:rsid w:val="001F35DF"/>
    <w:rsid w:val="001F6135"/>
    <w:rsid w:val="001F746D"/>
    <w:rsid w:val="00200089"/>
    <w:rsid w:val="00200162"/>
    <w:rsid w:val="00203450"/>
    <w:rsid w:val="002046E5"/>
    <w:rsid w:val="00205B4F"/>
    <w:rsid w:val="0021047D"/>
    <w:rsid w:val="002115B8"/>
    <w:rsid w:val="00215033"/>
    <w:rsid w:val="002216BE"/>
    <w:rsid w:val="002217A2"/>
    <w:rsid w:val="002232E0"/>
    <w:rsid w:val="0022551E"/>
    <w:rsid w:val="00226C8F"/>
    <w:rsid w:val="0023302B"/>
    <w:rsid w:val="002367DF"/>
    <w:rsid w:val="0023725C"/>
    <w:rsid w:val="002413C6"/>
    <w:rsid w:val="00251FB1"/>
    <w:rsid w:val="00254522"/>
    <w:rsid w:val="00255849"/>
    <w:rsid w:val="00261300"/>
    <w:rsid w:val="002633E4"/>
    <w:rsid w:val="002636F3"/>
    <w:rsid w:val="00272DE1"/>
    <w:rsid w:val="002739F2"/>
    <w:rsid w:val="002753D3"/>
    <w:rsid w:val="00277B06"/>
    <w:rsid w:val="00282EB9"/>
    <w:rsid w:val="002847A8"/>
    <w:rsid w:val="00285428"/>
    <w:rsid w:val="002859F6"/>
    <w:rsid w:val="002868EF"/>
    <w:rsid w:val="00286E0F"/>
    <w:rsid w:val="0029054D"/>
    <w:rsid w:val="002973AB"/>
    <w:rsid w:val="002A7E55"/>
    <w:rsid w:val="002B098B"/>
    <w:rsid w:val="002B3EA0"/>
    <w:rsid w:val="002B5FF7"/>
    <w:rsid w:val="002C02C5"/>
    <w:rsid w:val="002C3D57"/>
    <w:rsid w:val="002D0E5B"/>
    <w:rsid w:val="002D2EDE"/>
    <w:rsid w:val="002D5FD6"/>
    <w:rsid w:val="002D6B5E"/>
    <w:rsid w:val="002E0B7D"/>
    <w:rsid w:val="002E195F"/>
    <w:rsid w:val="002E78C6"/>
    <w:rsid w:val="002F040B"/>
    <w:rsid w:val="002F0CBC"/>
    <w:rsid w:val="002F3584"/>
    <w:rsid w:val="002F6B1E"/>
    <w:rsid w:val="00300782"/>
    <w:rsid w:val="00301B5E"/>
    <w:rsid w:val="00304B4C"/>
    <w:rsid w:val="00306A30"/>
    <w:rsid w:val="003105B3"/>
    <w:rsid w:val="00312D95"/>
    <w:rsid w:val="00314717"/>
    <w:rsid w:val="00314F1C"/>
    <w:rsid w:val="00314F3B"/>
    <w:rsid w:val="00315481"/>
    <w:rsid w:val="0031595D"/>
    <w:rsid w:val="00316E39"/>
    <w:rsid w:val="00317351"/>
    <w:rsid w:val="0032107C"/>
    <w:rsid w:val="003237B8"/>
    <w:rsid w:val="00324A84"/>
    <w:rsid w:val="00324AB6"/>
    <w:rsid w:val="003275A8"/>
    <w:rsid w:val="003313FE"/>
    <w:rsid w:val="0033150E"/>
    <w:rsid w:val="0033228F"/>
    <w:rsid w:val="00332F69"/>
    <w:rsid w:val="003340DD"/>
    <w:rsid w:val="0033640D"/>
    <w:rsid w:val="0034082C"/>
    <w:rsid w:val="00341A58"/>
    <w:rsid w:val="00342398"/>
    <w:rsid w:val="00342818"/>
    <w:rsid w:val="0034726E"/>
    <w:rsid w:val="00354373"/>
    <w:rsid w:val="00354E27"/>
    <w:rsid w:val="00355354"/>
    <w:rsid w:val="003555C8"/>
    <w:rsid w:val="00361CCC"/>
    <w:rsid w:val="00361FBC"/>
    <w:rsid w:val="00362A38"/>
    <w:rsid w:val="003647F4"/>
    <w:rsid w:val="003670E5"/>
    <w:rsid w:val="00382EF1"/>
    <w:rsid w:val="003848C2"/>
    <w:rsid w:val="00384EAA"/>
    <w:rsid w:val="003852F4"/>
    <w:rsid w:val="003903CA"/>
    <w:rsid w:val="0039095E"/>
    <w:rsid w:val="00391777"/>
    <w:rsid w:val="00394C7F"/>
    <w:rsid w:val="00396EE7"/>
    <w:rsid w:val="003A1164"/>
    <w:rsid w:val="003A1D26"/>
    <w:rsid w:val="003A3BE1"/>
    <w:rsid w:val="003A5FB2"/>
    <w:rsid w:val="003A7957"/>
    <w:rsid w:val="003B0FBE"/>
    <w:rsid w:val="003B172E"/>
    <w:rsid w:val="003B226A"/>
    <w:rsid w:val="003B35ED"/>
    <w:rsid w:val="003B5A56"/>
    <w:rsid w:val="003C27EF"/>
    <w:rsid w:val="003C759D"/>
    <w:rsid w:val="003C79CF"/>
    <w:rsid w:val="003C7DA7"/>
    <w:rsid w:val="003D236D"/>
    <w:rsid w:val="003D4ADC"/>
    <w:rsid w:val="003E16E5"/>
    <w:rsid w:val="003E25B8"/>
    <w:rsid w:val="003E2B5E"/>
    <w:rsid w:val="003E318F"/>
    <w:rsid w:val="003E67CF"/>
    <w:rsid w:val="003F365E"/>
    <w:rsid w:val="004032C6"/>
    <w:rsid w:val="0040395A"/>
    <w:rsid w:val="00404E4C"/>
    <w:rsid w:val="00405E0E"/>
    <w:rsid w:val="00406EE9"/>
    <w:rsid w:val="00415D5A"/>
    <w:rsid w:val="00420164"/>
    <w:rsid w:val="004257AF"/>
    <w:rsid w:val="00426414"/>
    <w:rsid w:val="00430CBE"/>
    <w:rsid w:val="0043663A"/>
    <w:rsid w:val="0043751F"/>
    <w:rsid w:val="0044395D"/>
    <w:rsid w:val="00444613"/>
    <w:rsid w:val="00460570"/>
    <w:rsid w:val="00461F49"/>
    <w:rsid w:val="00464177"/>
    <w:rsid w:val="004660EC"/>
    <w:rsid w:val="004662AF"/>
    <w:rsid w:val="004673DC"/>
    <w:rsid w:val="00473CBF"/>
    <w:rsid w:val="00475E38"/>
    <w:rsid w:val="00490247"/>
    <w:rsid w:val="00490338"/>
    <w:rsid w:val="00493485"/>
    <w:rsid w:val="0049397B"/>
    <w:rsid w:val="00496BC0"/>
    <w:rsid w:val="0049735F"/>
    <w:rsid w:val="004A0DEA"/>
    <w:rsid w:val="004A0F70"/>
    <w:rsid w:val="004A1177"/>
    <w:rsid w:val="004A1896"/>
    <w:rsid w:val="004A3AFF"/>
    <w:rsid w:val="004A47CD"/>
    <w:rsid w:val="004A7FB0"/>
    <w:rsid w:val="004B05A5"/>
    <w:rsid w:val="004B1148"/>
    <w:rsid w:val="004B1F4D"/>
    <w:rsid w:val="004B4F9C"/>
    <w:rsid w:val="004B5666"/>
    <w:rsid w:val="004B6AF6"/>
    <w:rsid w:val="004B7546"/>
    <w:rsid w:val="004B760F"/>
    <w:rsid w:val="004C365E"/>
    <w:rsid w:val="004C3B5D"/>
    <w:rsid w:val="004C653F"/>
    <w:rsid w:val="004D1F3A"/>
    <w:rsid w:val="004D666D"/>
    <w:rsid w:val="004D695F"/>
    <w:rsid w:val="004E10DE"/>
    <w:rsid w:val="004E2350"/>
    <w:rsid w:val="004E467C"/>
    <w:rsid w:val="004E4E4E"/>
    <w:rsid w:val="004E54DC"/>
    <w:rsid w:val="004E6114"/>
    <w:rsid w:val="004E7DD4"/>
    <w:rsid w:val="004F219B"/>
    <w:rsid w:val="004F26A6"/>
    <w:rsid w:val="004F4A5A"/>
    <w:rsid w:val="004F7026"/>
    <w:rsid w:val="004F7C05"/>
    <w:rsid w:val="004F7C9B"/>
    <w:rsid w:val="00501306"/>
    <w:rsid w:val="005022DD"/>
    <w:rsid w:val="00504ED3"/>
    <w:rsid w:val="00507F4A"/>
    <w:rsid w:val="0051113F"/>
    <w:rsid w:val="00513C6F"/>
    <w:rsid w:val="00513E97"/>
    <w:rsid w:val="0052031A"/>
    <w:rsid w:val="00523FDB"/>
    <w:rsid w:val="00526189"/>
    <w:rsid w:val="00532184"/>
    <w:rsid w:val="00535635"/>
    <w:rsid w:val="00537502"/>
    <w:rsid w:val="005470AC"/>
    <w:rsid w:val="005529F6"/>
    <w:rsid w:val="00554C70"/>
    <w:rsid w:val="00555E7E"/>
    <w:rsid w:val="00561643"/>
    <w:rsid w:val="005630BC"/>
    <w:rsid w:val="005634BB"/>
    <w:rsid w:val="0056488C"/>
    <w:rsid w:val="0057090A"/>
    <w:rsid w:val="005720B6"/>
    <w:rsid w:val="00576135"/>
    <w:rsid w:val="0058119C"/>
    <w:rsid w:val="00581F40"/>
    <w:rsid w:val="00582418"/>
    <w:rsid w:val="0058510F"/>
    <w:rsid w:val="00590A86"/>
    <w:rsid w:val="00590B5B"/>
    <w:rsid w:val="005959B1"/>
    <w:rsid w:val="005A2126"/>
    <w:rsid w:val="005A4769"/>
    <w:rsid w:val="005B09CC"/>
    <w:rsid w:val="005B1798"/>
    <w:rsid w:val="005B192C"/>
    <w:rsid w:val="005B1C82"/>
    <w:rsid w:val="005B34FF"/>
    <w:rsid w:val="005B4392"/>
    <w:rsid w:val="005C0E55"/>
    <w:rsid w:val="005C381B"/>
    <w:rsid w:val="005C63CB"/>
    <w:rsid w:val="005D47CD"/>
    <w:rsid w:val="005D65C0"/>
    <w:rsid w:val="005E0968"/>
    <w:rsid w:val="005E268D"/>
    <w:rsid w:val="005E2C80"/>
    <w:rsid w:val="005E2F83"/>
    <w:rsid w:val="005E66F0"/>
    <w:rsid w:val="005E7FEA"/>
    <w:rsid w:val="005F28AE"/>
    <w:rsid w:val="005F7884"/>
    <w:rsid w:val="00614B96"/>
    <w:rsid w:val="00615A54"/>
    <w:rsid w:val="00616F91"/>
    <w:rsid w:val="00617AD8"/>
    <w:rsid w:val="00620049"/>
    <w:rsid w:val="006229A7"/>
    <w:rsid w:val="00624104"/>
    <w:rsid w:val="006249F8"/>
    <w:rsid w:val="0062655D"/>
    <w:rsid w:val="00627F10"/>
    <w:rsid w:val="006333D0"/>
    <w:rsid w:val="0063387C"/>
    <w:rsid w:val="00634D2C"/>
    <w:rsid w:val="00640130"/>
    <w:rsid w:val="00641D5C"/>
    <w:rsid w:val="00644DCD"/>
    <w:rsid w:val="006451FE"/>
    <w:rsid w:val="0065281F"/>
    <w:rsid w:val="006562A1"/>
    <w:rsid w:val="006568CA"/>
    <w:rsid w:val="0066221A"/>
    <w:rsid w:val="00664950"/>
    <w:rsid w:val="00664FEB"/>
    <w:rsid w:val="006668CE"/>
    <w:rsid w:val="006673D4"/>
    <w:rsid w:val="00667DF9"/>
    <w:rsid w:val="00672843"/>
    <w:rsid w:val="006775C5"/>
    <w:rsid w:val="00680E59"/>
    <w:rsid w:val="00681360"/>
    <w:rsid w:val="006849D3"/>
    <w:rsid w:val="00685CA9"/>
    <w:rsid w:val="00686D41"/>
    <w:rsid w:val="0068731D"/>
    <w:rsid w:val="006969DB"/>
    <w:rsid w:val="006976BE"/>
    <w:rsid w:val="00697B9A"/>
    <w:rsid w:val="006A365F"/>
    <w:rsid w:val="006A36A7"/>
    <w:rsid w:val="006A3FA9"/>
    <w:rsid w:val="006A6AD6"/>
    <w:rsid w:val="006A7BDB"/>
    <w:rsid w:val="006B125A"/>
    <w:rsid w:val="006B267E"/>
    <w:rsid w:val="006B2D25"/>
    <w:rsid w:val="006B2F08"/>
    <w:rsid w:val="006B4899"/>
    <w:rsid w:val="006C0A8F"/>
    <w:rsid w:val="006C1DBA"/>
    <w:rsid w:val="006C2228"/>
    <w:rsid w:val="006C3325"/>
    <w:rsid w:val="006C3929"/>
    <w:rsid w:val="006C3FD7"/>
    <w:rsid w:val="006C41D2"/>
    <w:rsid w:val="006C5460"/>
    <w:rsid w:val="006C5E48"/>
    <w:rsid w:val="006D60E1"/>
    <w:rsid w:val="006D6F36"/>
    <w:rsid w:val="006E0C9C"/>
    <w:rsid w:val="006E2A18"/>
    <w:rsid w:val="006E7421"/>
    <w:rsid w:val="006F0097"/>
    <w:rsid w:val="006F2999"/>
    <w:rsid w:val="006F36F3"/>
    <w:rsid w:val="006F6D66"/>
    <w:rsid w:val="007001C0"/>
    <w:rsid w:val="00702236"/>
    <w:rsid w:val="007040A7"/>
    <w:rsid w:val="00704761"/>
    <w:rsid w:val="0070692E"/>
    <w:rsid w:val="00712456"/>
    <w:rsid w:val="007145B9"/>
    <w:rsid w:val="007165EC"/>
    <w:rsid w:val="00717616"/>
    <w:rsid w:val="00720FF8"/>
    <w:rsid w:val="00724F2E"/>
    <w:rsid w:val="007266EB"/>
    <w:rsid w:val="0073726E"/>
    <w:rsid w:val="007402CC"/>
    <w:rsid w:val="0074334D"/>
    <w:rsid w:val="00747E72"/>
    <w:rsid w:val="007505BE"/>
    <w:rsid w:val="00763DA6"/>
    <w:rsid w:val="00765A8F"/>
    <w:rsid w:val="00765D74"/>
    <w:rsid w:val="00766C3C"/>
    <w:rsid w:val="00766C6F"/>
    <w:rsid w:val="00770DC6"/>
    <w:rsid w:val="00772EEC"/>
    <w:rsid w:val="00773FC7"/>
    <w:rsid w:val="00775437"/>
    <w:rsid w:val="00775EB1"/>
    <w:rsid w:val="00777ECC"/>
    <w:rsid w:val="00780E44"/>
    <w:rsid w:val="00783DC5"/>
    <w:rsid w:val="00784CFF"/>
    <w:rsid w:val="007869CD"/>
    <w:rsid w:val="007874D4"/>
    <w:rsid w:val="007929B3"/>
    <w:rsid w:val="00795B31"/>
    <w:rsid w:val="007964BB"/>
    <w:rsid w:val="007972DA"/>
    <w:rsid w:val="0079740A"/>
    <w:rsid w:val="00797602"/>
    <w:rsid w:val="007A10B6"/>
    <w:rsid w:val="007A557A"/>
    <w:rsid w:val="007B4CAB"/>
    <w:rsid w:val="007B709A"/>
    <w:rsid w:val="007B7AFE"/>
    <w:rsid w:val="007B7F41"/>
    <w:rsid w:val="007C2614"/>
    <w:rsid w:val="007C332F"/>
    <w:rsid w:val="007D3834"/>
    <w:rsid w:val="007D7A98"/>
    <w:rsid w:val="007E14A4"/>
    <w:rsid w:val="007E2FC0"/>
    <w:rsid w:val="007E723E"/>
    <w:rsid w:val="007F3B67"/>
    <w:rsid w:val="007F5E50"/>
    <w:rsid w:val="007F7D34"/>
    <w:rsid w:val="007F7F3D"/>
    <w:rsid w:val="00803898"/>
    <w:rsid w:val="008058A4"/>
    <w:rsid w:val="0081127E"/>
    <w:rsid w:val="008131CA"/>
    <w:rsid w:val="0081487B"/>
    <w:rsid w:val="00816AD0"/>
    <w:rsid w:val="00816E60"/>
    <w:rsid w:val="008217CA"/>
    <w:rsid w:val="00822FEF"/>
    <w:rsid w:val="008257A4"/>
    <w:rsid w:val="008323D5"/>
    <w:rsid w:val="00834AE3"/>
    <w:rsid w:val="00835F6A"/>
    <w:rsid w:val="00837118"/>
    <w:rsid w:val="00837955"/>
    <w:rsid w:val="00837F47"/>
    <w:rsid w:val="00840760"/>
    <w:rsid w:val="00841949"/>
    <w:rsid w:val="00847FA3"/>
    <w:rsid w:val="00850C1A"/>
    <w:rsid w:val="00857342"/>
    <w:rsid w:val="00865D13"/>
    <w:rsid w:val="008670CB"/>
    <w:rsid w:val="00871CE7"/>
    <w:rsid w:val="00873AE3"/>
    <w:rsid w:val="00876BE8"/>
    <w:rsid w:val="00881683"/>
    <w:rsid w:val="00890D67"/>
    <w:rsid w:val="00891CCD"/>
    <w:rsid w:val="00892335"/>
    <w:rsid w:val="00893CD6"/>
    <w:rsid w:val="008946ED"/>
    <w:rsid w:val="00895482"/>
    <w:rsid w:val="00897D44"/>
    <w:rsid w:val="008A249C"/>
    <w:rsid w:val="008A613B"/>
    <w:rsid w:val="008A7C92"/>
    <w:rsid w:val="008B0754"/>
    <w:rsid w:val="008B40CF"/>
    <w:rsid w:val="008B6578"/>
    <w:rsid w:val="008C19B7"/>
    <w:rsid w:val="008C2CEB"/>
    <w:rsid w:val="008C4102"/>
    <w:rsid w:val="008C6FBF"/>
    <w:rsid w:val="008C79A8"/>
    <w:rsid w:val="008D0528"/>
    <w:rsid w:val="008D2729"/>
    <w:rsid w:val="008D2812"/>
    <w:rsid w:val="008E2D2D"/>
    <w:rsid w:val="008E7A96"/>
    <w:rsid w:val="008F07F3"/>
    <w:rsid w:val="008F4558"/>
    <w:rsid w:val="009036DB"/>
    <w:rsid w:val="00903A69"/>
    <w:rsid w:val="009067FA"/>
    <w:rsid w:val="009103AD"/>
    <w:rsid w:val="0091166F"/>
    <w:rsid w:val="00911893"/>
    <w:rsid w:val="00911EB2"/>
    <w:rsid w:val="00917748"/>
    <w:rsid w:val="00921543"/>
    <w:rsid w:val="0092241A"/>
    <w:rsid w:val="00923842"/>
    <w:rsid w:val="0093121F"/>
    <w:rsid w:val="00932673"/>
    <w:rsid w:val="00933D86"/>
    <w:rsid w:val="00934599"/>
    <w:rsid w:val="00935222"/>
    <w:rsid w:val="0093637D"/>
    <w:rsid w:val="00936819"/>
    <w:rsid w:val="0093742C"/>
    <w:rsid w:val="0094171B"/>
    <w:rsid w:val="009431B3"/>
    <w:rsid w:val="00944C49"/>
    <w:rsid w:val="00946A1A"/>
    <w:rsid w:val="00953AC7"/>
    <w:rsid w:val="009570E3"/>
    <w:rsid w:val="009601A8"/>
    <w:rsid w:val="00962FD5"/>
    <w:rsid w:val="009636AB"/>
    <w:rsid w:val="00973646"/>
    <w:rsid w:val="0097761D"/>
    <w:rsid w:val="00977D2E"/>
    <w:rsid w:val="0098415F"/>
    <w:rsid w:val="00985D2F"/>
    <w:rsid w:val="00994961"/>
    <w:rsid w:val="00996577"/>
    <w:rsid w:val="00996BB4"/>
    <w:rsid w:val="009A1549"/>
    <w:rsid w:val="009A45BB"/>
    <w:rsid w:val="009A752F"/>
    <w:rsid w:val="009A7987"/>
    <w:rsid w:val="009C4E7E"/>
    <w:rsid w:val="009C6CE7"/>
    <w:rsid w:val="009D0C95"/>
    <w:rsid w:val="009D2FFB"/>
    <w:rsid w:val="009D5BF1"/>
    <w:rsid w:val="009D670F"/>
    <w:rsid w:val="009D7C61"/>
    <w:rsid w:val="009E0E76"/>
    <w:rsid w:val="009E1B0E"/>
    <w:rsid w:val="009E376A"/>
    <w:rsid w:val="009E3EDA"/>
    <w:rsid w:val="009E53A1"/>
    <w:rsid w:val="009F0537"/>
    <w:rsid w:val="009F0849"/>
    <w:rsid w:val="009F78CE"/>
    <w:rsid w:val="009F7B65"/>
    <w:rsid w:val="00A002CD"/>
    <w:rsid w:val="00A00AED"/>
    <w:rsid w:val="00A0215F"/>
    <w:rsid w:val="00A14BF5"/>
    <w:rsid w:val="00A20CD6"/>
    <w:rsid w:val="00A21065"/>
    <w:rsid w:val="00A22377"/>
    <w:rsid w:val="00A23771"/>
    <w:rsid w:val="00A314A1"/>
    <w:rsid w:val="00A31616"/>
    <w:rsid w:val="00A34678"/>
    <w:rsid w:val="00A35907"/>
    <w:rsid w:val="00A366AB"/>
    <w:rsid w:val="00A37E3B"/>
    <w:rsid w:val="00A40D1A"/>
    <w:rsid w:val="00A41A29"/>
    <w:rsid w:val="00A46507"/>
    <w:rsid w:val="00A52F47"/>
    <w:rsid w:val="00A57601"/>
    <w:rsid w:val="00A6035A"/>
    <w:rsid w:val="00A61B62"/>
    <w:rsid w:val="00A6426C"/>
    <w:rsid w:val="00A7099E"/>
    <w:rsid w:val="00A71219"/>
    <w:rsid w:val="00A7576D"/>
    <w:rsid w:val="00A75CDD"/>
    <w:rsid w:val="00A76B1E"/>
    <w:rsid w:val="00A80F6F"/>
    <w:rsid w:val="00A811E8"/>
    <w:rsid w:val="00A82BAA"/>
    <w:rsid w:val="00A858A2"/>
    <w:rsid w:val="00A85AF3"/>
    <w:rsid w:val="00A87483"/>
    <w:rsid w:val="00A8776D"/>
    <w:rsid w:val="00A90736"/>
    <w:rsid w:val="00A97572"/>
    <w:rsid w:val="00AA57D0"/>
    <w:rsid w:val="00AA65E6"/>
    <w:rsid w:val="00AA7C74"/>
    <w:rsid w:val="00AB1B13"/>
    <w:rsid w:val="00AB2029"/>
    <w:rsid w:val="00AB2A53"/>
    <w:rsid w:val="00AC19A5"/>
    <w:rsid w:val="00AC1F05"/>
    <w:rsid w:val="00AC3B97"/>
    <w:rsid w:val="00AC467B"/>
    <w:rsid w:val="00AC5529"/>
    <w:rsid w:val="00AC6DD8"/>
    <w:rsid w:val="00AD306C"/>
    <w:rsid w:val="00AD4B43"/>
    <w:rsid w:val="00AD59EF"/>
    <w:rsid w:val="00AD600C"/>
    <w:rsid w:val="00AD6F0F"/>
    <w:rsid w:val="00AE0444"/>
    <w:rsid w:val="00AE0D39"/>
    <w:rsid w:val="00AE2539"/>
    <w:rsid w:val="00AE46E2"/>
    <w:rsid w:val="00AE46F5"/>
    <w:rsid w:val="00AF308F"/>
    <w:rsid w:val="00AF4FDB"/>
    <w:rsid w:val="00AF6A30"/>
    <w:rsid w:val="00AF7020"/>
    <w:rsid w:val="00B0053B"/>
    <w:rsid w:val="00B03DA2"/>
    <w:rsid w:val="00B03EB5"/>
    <w:rsid w:val="00B10B9F"/>
    <w:rsid w:val="00B1304F"/>
    <w:rsid w:val="00B20869"/>
    <w:rsid w:val="00B329BE"/>
    <w:rsid w:val="00B34275"/>
    <w:rsid w:val="00B346D6"/>
    <w:rsid w:val="00B37F47"/>
    <w:rsid w:val="00B464AE"/>
    <w:rsid w:val="00B54B9A"/>
    <w:rsid w:val="00B63384"/>
    <w:rsid w:val="00B65FC8"/>
    <w:rsid w:val="00B66769"/>
    <w:rsid w:val="00B66BB8"/>
    <w:rsid w:val="00B74255"/>
    <w:rsid w:val="00B90778"/>
    <w:rsid w:val="00B922AB"/>
    <w:rsid w:val="00B92C36"/>
    <w:rsid w:val="00B93F84"/>
    <w:rsid w:val="00BA16F6"/>
    <w:rsid w:val="00BA6D30"/>
    <w:rsid w:val="00BB03E4"/>
    <w:rsid w:val="00BB2E00"/>
    <w:rsid w:val="00BB503C"/>
    <w:rsid w:val="00BB5C91"/>
    <w:rsid w:val="00BC0C39"/>
    <w:rsid w:val="00BC1818"/>
    <w:rsid w:val="00BC6913"/>
    <w:rsid w:val="00BC706E"/>
    <w:rsid w:val="00BC7792"/>
    <w:rsid w:val="00BD0028"/>
    <w:rsid w:val="00BD04C7"/>
    <w:rsid w:val="00BD236D"/>
    <w:rsid w:val="00BE06A9"/>
    <w:rsid w:val="00BE5FF2"/>
    <w:rsid w:val="00BE63C4"/>
    <w:rsid w:val="00BF29A7"/>
    <w:rsid w:val="00BF29FF"/>
    <w:rsid w:val="00BF3C77"/>
    <w:rsid w:val="00BF428C"/>
    <w:rsid w:val="00BF66B7"/>
    <w:rsid w:val="00C0004E"/>
    <w:rsid w:val="00C02404"/>
    <w:rsid w:val="00C05135"/>
    <w:rsid w:val="00C072E3"/>
    <w:rsid w:val="00C134D5"/>
    <w:rsid w:val="00C137C3"/>
    <w:rsid w:val="00C17103"/>
    <w:rsid w:val="00C17702"/>
    <w:rsid w:val="00C20CEA"/>
    <w:rsid w:val="00C26436"/>
    <w:rsid w:val="00C3350A"/>
    <w:rsid w:val="00C34929"/>
    <w:rsid w:val="00C37D64"/>
    <w:rsid w:val="00C41114"/>
    <w:rsid w:val="00C41C86"/>
    <w:rsid w:val="00C42631"/>
    <w:rsid w:val="00C42871"/>
    <w:rsid w:val="00C45E9C"/>
    <w:rsid w:val="00C4726E"/>
    <w:rsid w:val="00C476C1"/>
    <w:rsid w:val="00C53553"/>
    <w:rsid w:val="00C542DE"/>
    <w:rsid w:val="00C5690C"/>
    <w:rsid w:val="00C56FFE"/>
    <w:rsid w:val="00C5722E"/>
    <w:rsid w:val="00C62ABB"/>
    <w:rsid w:val="00C64617"/>
    <w:rsid w:val="00C72ED1"/>
    <w:rsid w:val="00C82871"/>
    <w:rsid w:val="00C87378"/>
    <w:rsid w:val="00C91806"/>
    <w:rsid w:val="00C934B0"/>
    <w:rsid w:val="00C94DCD"/>
    <w:rsid w:val="00C95880"/>
    <w:rsid w:val="00C96830"/>
    <w:rsid w:val="00CA0392"/>
    <w:rsid w:val="00CA26EB"/>
    <w:rsid w:val="00CA5834"/>
    <w:rsid w:val="00CB2730"/>
    <w:rsid w:val="00CB41E2"/>
    <w:rsid w:val="00CC52E4"/>
    <w:rsid w:val="00CC5E79"/>
    <w:rsid w:val="00CD1933"/>
    <w:rsid w:val="00CD6146"/>
    <w:rsid w:val="00CD6798"/>
    <w:rsid w:val="00CE69E2"/>
    <w:rsid w:val="00CE6F77"/>
    <w:rsid w:val="00CF09B5"/>
    <w:rsid w:val="00CF2185"/>
    <w:rsid w:val="00D008B4"/>
    <w:rsid w:val="00D00FE5"/>
    <w:rsid w:val="00D01E4F"/>
    <w:rsid w:val="00D05D0F"/>
    <w:rsid w:val="00D07F6D"/>
    <w:rsid w:val="00D106D3"/>
    <w:rsid w:val="00D13943"/>
    <w:rsid w:val="00D13BF4"/>
    <w:rsid w:val="00D16A9E"/>
    <w:rsid w:val="00D16C46"/>
    <w:rsid w:val="00D171F0"/>
    <w:rsid w:val="00D21251"/>
    <w:rsid w:val="00D24601"/>
    <w:rsid w:val="00D3668C"/>
    <w:rsid w:val="00D41382"/>
    <w:rsid w:val="00D413D6"/>
    <w:rsid w:val="00D41788"/>
    <w:rsid w:val="00D41DF0"/>
    <w:rsid w:val="00D43F75"/>
    <w:rsid w:val="00D4548F"/>
    <w:rsid w:val="00D46892"/>
    <w:rsid w:val="00D51A5B"/>
    <w:rsid w:val="00D52242"/>
    <w:rsid w:val="00D543B8"/>
    <w:rsid w:val="00D54BA5"/>
    <w:rsid w:val="00D54C82"/>
    <w:rsid w:val="00D55D89"/>
    <w:rsid w:val="00D57DF5"/>
    <w:rsid w:val="00D6335E"/>
    <w:rsid w:val="00D65097"/>
    <w:rsid w:val="00D66328"/>
    <w:rsid w:val="00D67739"/>
    <w:rsid w:val="00D73E0B"/>
    <w:rsid w:val="00D75727"/>
    <w:rsid w:val="00D818F4"/>
    <w:rsid w:val="00D82F7B"/>
    <w:rsid w:val="00D85A40"/>
    <w:rsid w:val="00D879E1"/>
    <w:rsid w:val="00D9205D"/>
    <w:rsid w:val="00D9605B"/>
    <w:rsid w:val="00D97C02"/>
    <w:rsid w:val="00D97C71"/>
    <w:rsid w:val="00D97E8E"/>
    <w:rsid w:val="00DA722A"/>
    <w:rsid w:val="00DA793E"/>
    <w:rsid w:val="00DB4FFF"/>
    <w:rsid w:val="00DB7643"/>
    <w:rsid w:val="00DC264F"/>
    <w:rsid w:val="00DC2AEA"/>
    <w:rsid w:val="00DC68F3"/>
    <w:rsid w:val="00DD0FDB"/>
    <w:rsid w:val="00DD1A4F"/>
    <w:rsid w:val="00DD2AFF"/>
    <w:rsid w:val="00DD2BCA"/>
    <w:rsid w:val="00DD32D5"/>
    <w:rsid w:val="00DD3514"/>
    <w:rsid w:val="00DD478F"/>
    <w:rsid w:val="00DD710F"/>
    <w:rsid w:val="00DE1AA1"/>
    <w:rsid w:val="00DE3F04"/>
    <w:rsid w:val="00DE4EB3"/>
    <w:rsid w:val="00DE60AC"/>
    <w:rsid w:val="00DE6726"/>
    <w:rsid w:val="00DE6860"/>
    <w:rsid w:val="00DE7D59"/>
    <w:rsid w:val="00DF2F0D"/>
    <w:rsid w:val="00DF7CF0"/>
    <w:rsid w:val="00E013B3"/>
    <w:rsid w:val="00E01AE1"/>
    <w:rsid w:val="00E02D8C"/>
    <w:rsid w:val="00E04E0E"/>
    <w:rsid w:val="00E06670"/>
    <w:rsid w:val="00E07C32"/>
    <w:rsid w:val="00E2184E"/>
    <w:rsid w:val="00E24E12"/>
    <w:rsid w:val="00E26CFF"/>
    <w:rsid w:val="00E35C21"/>
    <w:rsid w:val="00E45A82"/>
    <w:rsid w:val="00E46AE9"/>
    <w:rsid w:val="00E47EC3"/>
    <w:rsid w:val="00E5357A"/>
    <w:rsid w:val="00E56CBA"/>
    <w:rsid w:val="00E61655"/>
    <w:rsid w:val="00E62EC6"/>
    <w:rsid w:val="00E62F7E"/>
    <w:rsid w:val="00E677FA"/>
    <w:rsid w:val="00E75D1A"/>
    <w:rsid w:val="00E77F97"/>
    <w:rsid w:val="00E81602"/>
    <w:rsid w:val="00E81AC0"/>
    <w:rsid w:val="00E82394"/>
    <w:rsid w:val="00E85B17"/>
    <w:rsid w:val="00E85C72"/>
    <w:rsid w:val="00E87EE0"/>
    <w:rsid w:val="00E903DB"/>
    <w:rsid w:val="00E93512"/>
    <w:rsid w:val="00EA01FB"/>
    <w:rsid w:val="00EA1CA8"/>
    <w:rsid w:val="00EA1D7B"/>
    <w:rsid w:val="00EA3DA6"/>
    <w:rsid w:val="00EA3F22"/>
    <w:rsid w:val="00EA722B"/>
    <w:rsid w:val="00EB087F"/>
    <w:rsid w:val="00EB5E68"/>
    <w:rsid w:val="00EC59EA"/>
    <w:rsid w:val="00EC5E49"/>
    <w:rsid w:val="00EC7B44"/>
    <w:rsid w:val="00ED0BDD"/>
    <w:rsid w:val="00ED22EB"/>
    <w:rsid w:val="00ED3142"/>
    <w:rsid w:val="00ED3EB8"/>
    <w:rsid w:val="00ED4A96"/>
    <w:rsid w:val="00ED5362"/>
    <w:rsid w:val="00EE0FF2"/>
    <w:rsid w:val="00EE3348"/>
    <w:rsid w:val="00EE4D03"/>
    <w:rsid w:val="00EE4D20"/>
    <w:rsid w:val="00EE5420"/>
    <w:rsid w:val="00EE5B13"/>
    <w:rsid w:val="00EE61FD"/>
    <w:rsid w:val="00EE7661"/>
    <w:rsid w:val="00EF2812"/>
    <w:rsid w:val="00EF3A0C"/>
    <w:rsid w:val="00EF51AE"/>
    <w:rsid w:val="00EF6354"/>
    <w:rsid w:val="00EF66BF"/>
    <w:rsid w:val="00F02445"/>
    <w:rsid w:val="00F02A6D"/>
    <w:rsid w:val="00F030D7"/>
    <w:rsid w:val="00F079A2"/>
    <w:rsid w:val="00F07C45"/>
    <w:rsid w:val="00F125E0"/>
    <w:rsid w:val="00F14B55"/>
    <w:rsid w:val="00F1585A"/>
    <w:rsid w:val="00F23657"/>
    <w:rsid w:val="00F25AD0"/>
    <w:rsid w:val="00F26605"/>
    <w:rsid w:val="00F306A7"/>
    <w:rsid w:val="00F31A9D"/>
    <w:rsid w:val="00F35B22"/>
    <w:rsid w:val="00F40C6D"/>
    <w:rsid w:val="00F413E3"/>
    <w:rsid w:val="00F43467"/>
    <w:rsid w:val="00F47975"/>
    <w:rsid w:val="00F50E11"/>
    <w:rsid w:val="00F51980"/>
    <w:rsid w:val="00F5267A"/>
    <w:rsid w:val="00F532B9"/>
    <w:rsid w:val="00F5722F"/>
    <w:rsid w:val="00F57AE7"/>
    <w:rsid w:val="00F71DB4"/>
    <w:rsid w:val="00F743C1"/>
    <w:rsid w:val="00F75082"/>
    <w:rsid w:val="00F75D54"/>
    <w:rsid w:val="00F7698E"/>
    <w:rsid w:val="00F82A85"/>
    <w:rsid w:val="00F87BAB"/>
    <w:rsid w:val="00F87E96"/>
    <w:rsid w:val="00F9125B"/>
    <w:rsid w:val="00F9220F"/>
    <w:rsid w:val="00F94649"/>
    <w:rsid w:val="00F97B83"/>
    <w:rsid w:val="00FA665F"/>
    <w:rsid w:val="00FA764F"/>
    <w:rsid w:val="00FB0E6D"/>
    <w:rsid w:val="00FB1385"/>
    <w:rsid w:val="00FB1C72"/>
    <w:rsid w:val="00FB2552"/>
    <w:rsid w:val="00FB61CF"/>
    <w:rsid w:val="00FC0726"/>
    <w:rsid w:val="00FC5583"/>
    <w:rsid w:val="00FC56B0"/>
    <w:rsid w:val="00FC6228"/>
    <w:rsid w:val="00FD2BEA"/>
    <w:rsid w:val="00FD7328"/>
    <w:rsid w:val="00FE0BD5"/>
    <w:rsid w:val="00FE0C89"/>
    <w:rsid w:val="00FF496D"/>
    <w:rsid w:val="00FF4C15"/>
    <w:rsid w:val="00FF63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90">
      <w:bodyDiv w:val="1"/>
      <w:marLeft w:val="0"/>
      <w:marRight w:val="0"/>
      <w:marTop w:val="0"/>
      <w:marBottom w:val="0"/>
      <w:divBdr>
        <w:top w:val="none" w:sz="0" w:space="0" w:color="auto"/>
        <w:left w:val="none" w:sz="0" w:space="0" w:color="auto"/>
        <w:bottom w:val="none" w:sz="0" w:space="0" w:color="auto"/>
        <w:right w:val="none" w:sz="0" w:space="0" w:color="auto"/>
      </w:divBdr>
    </w:div>
    <w:div w:id="23751010">
      <w:bodyDiv w:val="1"/>
      <w:marLeft w:val="0"/>
      <w:marRight w:val="0"/>
      <w:marTop w:val="0"/>
      <w:marBottom w:val="0"/>
      <w:divBdr>
        <w:top w:val="none" w:sz="0" w:space="0" w:color="auto"/>
        <w:left w:val="none" w:sz="0" w:space="0" w:color="auto"/>
        <w:bottom w:val="none" w:sz="0" w:space="0" w:color="auto"/>
        <w:right w:val="none" w:sz="0" w:space="0" w:color="auto"/>
      </w:divBdr>
    </w:div>
    <w:div w:id="25494785">
      <w:bodyDiv w:val="1"/>
      <w:marLeft w:val="0"/>
      <w:marRight w:val="0"/>
      <w:marTop w:val="0"/>
      <w:marBottom w:val="0"/>
      <w:divBdr>
        <w:top w:val="none" w:sz="0" w:space="0" w:color="auto"/>
        <w:left w:val="none" w:sz="0" w:space="0" w:color="auto"/>
        <w:bottom w:val="none" w:sz="0" w:space="0" w:color="auto"/>
        <w:right w:val="none" w:sz="0" w:space="0" w:color="auto"/>
      </w:divBdr>
    </w:div>
    <w:div w:id="51775736">
      <w:bodyDiv w:val="1"/>
      <w:marLeft w:val="0"/>
      <w:marRight w:val="0"/>
      <w:marTop w:val="0"/>
      <w:marBottom w:val="0"/>
      <w:divBdr>
        <w:top w:val="none" w:sz="0" w:space="0" w:color="auto"/>
        <w:left w:val="none" w:sz="0" w:space="0" w:color="auto"/>
        <w:bottom w:val="none" w:sz="0" w:space="0" w:color="auto"/>
        <w:right w:val="none" w:sz="0" w:space="0" w:color="auto"/>
      </w:divBdr>
    </w:div>
    <w:div w:id="122308231">
      <w:bodyDiv w:val="1"/>
      <w:marLeft w:val="0"/>
      <w:marRight w:val="0"/>
      <w:marTop w:val="0"/>
      <w:marBottom w:val="0"/>
      <w:divBdr>
        <w:top w:val="none" w:sz="0" w:space="0" w:color="auto"/>
        <w:left w:val="none" w:sz="0" w:space="0" w:color="auto"/>
        <w:bottom w:val="none" w:sz="0" w:space="0" w:color="auto"/>
        <w:right w:val="none" w:sz="0" w:space="0" w:color="auto"/>
      </w:divBdr>
    </w:div>
    <w:div w:id="149948913">
      <w:bodyDiv w:val="1"/>
      <w:marLeft w:val="0"/>
      <w:marRight w:val="0"/>
      <w:marTop w:val="0"/>
      <w:marBottom w:val="0"/>
      <w:divBdr>
        <w:top w:val="none" w:sz="0" w:space="0" w:color="auto"/>
        <w:left w:val="none" w:sz="0" w:space="0" w:color="auto"/>
        <w:bottom w:val="none" w:sz="0" w:space="0" w:color="auto"/>
        <w:right w:val="none" w:sz="0" w:space="0" w:color="auto"/>
      </w:divBdr>
    </w:div>
    <w:div w:id="175926065">
      <w:bodyDiv w:val="1"/>
      <w:marLeft w:val="0"/>
      <w:marRight w:val="0"/>
      <w:marTop w:val="0"/>
      <w:marBottom w:val="0"/>
      <w:divBdr>
        <w:top w:val="none" w:sz="0" w:space="0" w:color="auto"/>
        <w:left w:val="none" w:sz="0" w:space="0" w:color="auto"/>
        <w:bottom w:val="none" w:sz="0" w:space="0" w:color="auto"/>
        <w:right w:val="none" w:sz="0" w:space="0" w:color="auto"/>
      </w:divBdr>
    </w:div>
    <w:div w:id="190607489">
      <w:bodyDiv w:val="1"/>
      <w:marLeft w:val="0"/>
      <w:marRight w:val="0"/>
      <w:marTop w:val="0"/>
      <w:marBottom w:val="0"/>
      <w:divBdr>
        <w:top w:val="none" w:sz="0" w:space="0" w:color="auto"/>
        <w:left w:val="none" w:sz="0" w:space="0" w:color="auto"/>
        <w:bottom w:val="none" w:sz="0" w:space="0" w:color="auto"/>
        <w:right w:val="none" w:sz="0" w:space="0" w:color="auto"/>
      </w:divBdr>
    </w:div>
    <w:div w:id="277954535">
      <w:bodyDiv w:val="1"/>
      <w:marLeft w:val="0"/>
      <w:marRight w:val="0"/>
      <w:marTop w:val="0"/>
      <w:marBottom w:val="0"/>
      <w:divBdr>
        <w:top w:val="none" w:sz="0" w:space="0" w:color="auto"/>
        <w:left w:val="none" w:sz="0" w:space="0" w:color="auto"/>
        <w:bottom w:val="none" w:sz="0" w:space="0" w:color="auto"/>
        <w:right w:val="none" w:sz="0" w:space="0" w:color="auto"/>
      </w:divBdr>
    </w:div>
    <w:div w:id="305159862">
      <w:bodyDiv w:val="1"/>
      <w:marLeft w:val="0"/>
      <w:marRight w:val="0"/>
      <w:marTop w:val="0"/>
      <w:marBottom w:val="0"/>
      <w:divBdr>
        <w:top w:val="none" w:sz="0" w:space="0" w:color="auto"/>
        <w:left w:val="none" w:sz="0" w:space="0" w:color="auto"/>
        <w:bottom w:val="none" w:sz="0" w:space="0" w:color="auto"/>
        <w:right w:val="none" w:sz="0" w:space="0" w:color="auto"/>
      </w:divBdr>
    </w:div>
    <w:div w:id="453525490">
      <w:bodyDiv w:val="1"/>
      <w:marLeft w:val="0"/>
      <w:marRight w:val="0"/>
      <w:marTop w:val="0"/>
      <w:marBottom w:val="0"/>
      <w:divBdr>
        <w:top w:val="none" w:sz="0" w:space="0" w:color="auto"/>
        <w:left w:val="none" w:sz="0" w:space="0" w:color="auto"/>
        <w:bottom w:val="none" w:sz="0" w:space="0" w:color="auto"/>
        <w:right w:val="none" w:sz="0" w:space="0" w:color="auto"/>
      </w:divBdr>
    </w:div>
    <w:div w:id="527915455">
      <w:bodyDiv w:val="1"/>
      <w:marLeft w:val="0"/>
      <w:marRight w:val="0"/>
      <w:marTop w:val="0"/>
      <w:marBottom w:val="0"/>
      <w:divBdr>
        <w:top w:val="none" w:sz="0" w:space="0" w:color="auto"/>
        <w:left w:val="none" w:sz="0" w:space="0" w:color="auto"/>
        <w:bottom w:val="none" w:sz="0" w:space="0" w:color="auto"/>
        <w:right w:val="none" w:sz="0" w:space="0" w:color="auto"/>
      </w:divBdr>
    </w:div>
    <w:div w:id="538130760">
      <w:bodyDiv w:val="1"/>
      <w:marLeft w:val="0"/>
      <w:marRight w:val="0"/>
      <w:marTop w:val="0"/>
      <w:marBottom w:val="0"/>
      <w:divBdr>
        <w:top w:val="none" w:sz="0" w:space="0" w:color="auto"/>
        <w:left w:val="none" w:sz="0" w:space="0" w:color="auto"/>
        <w:bottom w:val="none" w:sz="0" w:space="0" w:color="auto"/>
        <w:right w:val="none" w:sz="0" w:space="0" w:color="auto"/>
      </w:divBdr>
    </w:div>
    <w:div w:id="553275258">
      <w:bodyDiv w:val="1"/>
      <w:marLeft w:val="0"/>
      <w:marRight w:val="0"/>
      <w:marTop w:val="0"/>
      <w:marBottom w:val="0"/>
      <w:divBdr>
        <w:top w:val="none" w:sz="0" w:space="0" w:color="auto"/>
        <w:left w:val="none" w:sz="0" w:space="0" w:color="auto"/>
        <w:bottom w:val="none" w:sz="0" w:space="0" w:color="auto"/>
        <w:right w:val="none" w:sz="0" w:space="0" w:color="auto"/>
      </w:divBdr>
    </w:div>
    <w:div w:id="571087202">
      <w:bodyDiv w:val="1"/>
      <w:marLeft w:val="0"/>
      <w:marRight w:val="0"/>
      <w:marTop w:val="0"/>
      <w:marBottom w:val="0"/>
      <w:divBdr>
        <w:top w:val="none" w:sz="0" w:space="0" w:color="auto"/>
        <w:left w:val="none" w:sz="0" w:space="0" w:color="auto"/>
        <w:bottom w:val="none" w:sz="0" w:space="0" w:color="auto"/>
        <w:right w:val="none" w:sz="0" w:space="0" w:color="auto"/>
      </w:divBdr>
    </w:div>
    <w:div w:id="624967210">
      <w:bodyDiv w:val="1"/>
      <w:marLeft w:val="0"/>
      <w:marRight w:val="0"/>
      <w:marTop w:val="0"/>
      <w:marBottom w:val="0"/>
      <w:divBdr>
        <w:top w:val="none" w:sz="0" w:space="0" w:color="auto"/>
        <w:left w:val="none" w:sz="0" w:space="0" w:color="auto"/>
        <w:bottom w:val="none" w:sz="0" w:space="0" w:color="auto"/>
        <w:right w:val="none" w:sz="0" w:space="0" w:color="auto"/>
      </w:divBdr>
    </w:div>
    <w:div w:id="765032916">
      <w:bodyDiv w:val="1"/>
      <w:marLeft w:val="0"/>
      <w:marRight w:val="0"/>
      <w:marTop w:val="0"/>
      <w:marBottom w:val="0"/>
      <w:divBdr>
        <w:top w:val="none" w:sz="0" w:space="0" w:color="auto"/>
        <w:left w:val="none" w:sz="0" w:space="0" w:color="auto"/>
        <w:bottom w:val="none" w:sz="0" w:space="0" w:color="auto"/>
        <w:right w:val="none" w:sz="0" w:space="0" w:color="auto"/>
      </w:divBdr>
    </w:div>
    <w:div w:id="812915565">
      <w:bodyDiv w:val="1"/>
      <w:marLeft w:val="0"/>
      <w:marRight w:val="0"/>
      <w:marTop w:val="0"/>
      <w:marBottom w:val="0"/>
      <w:divBdr>
        <w:top w:val="none" w:sz="0" w:space="0" w:color="auto"/>
        <w:left w:val="none" w:sz="0" w:space="0" w:color="auto"/>
        <w:bottom w:val="none" w:sz="0" w:space="0" w:color="auto"/>
        <w:right w:val="none" w:sz="0" w:space="0" w:color="auto"/>
      </w:divBdr>
    </w:div>
    <w:div w:id="865942519">
      <w:bodyDiv w:val="1"/>
      <w:marLeft w:val="0"/>
      <w:marRight w:val="0"/>
      <w:marTop w:val="0"/>
      <w:marBottom w:val="0"/>
      <w:divBdr>
        <w:top w:val="none" w:sz="0" w:space="0" w:color="auto"/>
        <w:left w:val="none" w:sz="0" w:space="0" w:color="auto"/>
        <w:bottom w:val="none" w:sz="0" w:space="0" w:color="auto"/>
        <w:right w:val="none" w:sz="0" w:space="0" w:color="auto"/>
      </w:divBdr>
    </w:div>
    <w:div w:id="892690191">
      <w:bodyDiv w:val="1"/>
      <w:marLeft w:val="0"/>
      <w:marRight w:val="0"/>
      <w:marTop w:val="0"/>
      <w:marBottom w:val="0"/>
      <w:divBdr>
        <w:top w:val="none" w:sz="0" w:space="0" w:color="auto"/>
        <w:left w:val="none" w:sz="0" w:space="0" w:color="auto"/>
        <w:bottom w:val="none" w:sz="0" w:space="0" w:color="auto"/>
        <w:right w:val="none" w:sz="0" w:space="0" w:color="auto"/>
      </w:divBdr>
    </w:div>
    <w:div w:id="964237603">
      <w:bodyDiv w:val="1"/>
      <w:marLeft w:val="0"/>
      <w:marRight w:val="0"/>
      <w:marTop w:val="0"/>
      <w:marBottom w:val="0"/>
      <w:divBdr>
        <w:top w:val="none" w:sz="0" w:space="0" w:color="auto"/>
        <w:left w:val="none" w:sz="0" w:space="0" w:color="auto"/>
        <w:bottom w:val="none" w:sz="0" w:space="0" w:color="auto"/>
        <w:right w:val="none" w:sz="0" w:space="0" w:color="auto"/>
      </w:divBdr>
    </w:div>
    <w:div w:id="1015032040">
      <w:bodyDiv w:val="1"/>
      <w:marLeft w:val="0"/>
      <w:marRight w:val="0"/>
      <w:marTop w:val="0"/>
      <w:marBottom w:val="0"/>
      <w:divBdr>
        <w:top w:val="none" w:sz="0" w:space="0" w:color="auto"/>
        <w:left w:val="none" w:sz="0" w:space="0" w:color="auto"/>
        <w:bottom w:val="none" w:sz="0" w:space="0" w:color="auto"/>
        <w:right w:val="none" w:sz="0" w:space="0" w:color="auto"/>
      </w:divBdr>
    </w:div>
    <w:div w:id="1027296511">
      <w:bodyDiv w:val="1"/>
      <w:marLeft w:val="0"/>
      <w:marRight w:val="0"/>
      <w:marTop w:val="0"/>
      <w:marBottom w:val="0"/>
      <w:divBdr>
        <w:top w:val="none" w:sz="0" w:space="0" w:color="auto"/>
        <w:left w:val="none" w:sz="0" w:space="0" w:color="auto"/>
        <w:bottom w:val="none" w:sz="0" w:space="0" w:color="auto"/>
        <w:right w:val="none" w:sz="0" w:space="0" w:color="auto"/>
      </w:divBdr>
    </w:div>
    <w:div w:id="1027873980">
      <w:bodyDiv w:val="1"/>
      <w:marLeft w:val="0"/>
      <w:marRight w:val="0"/>
      <w:marTop w:val="0"/>
      <w:marBottom w:val="0"/>
      <w:divBdr>
        <w:top w:val="none" w:sz="0" w:space="0" w:color="auto"/>
        <w:left w:val="none" w:sz="0" w:space="0" w:color="auto"/>
        <w:bottom w:val="none" w:sz="0" w:space="0" w:color="auto"/>
        <w:right w:val="none" w:sz="0" w:space="0" w:color="auto"/>
      </w:divBdr>
    </w:div>
    <w:div w:id="1030573800">
      <w:bodyDiv w:val="1"/>
      <w:marLeft w:val="0"/>
      <w:marRight w:val="0"/>
      <w:marTop w:val="0"/>
      <w:marBottom w:val="0"/>
      <w:divBdr>
        <w:top w:val="none" w:sz="0" w:space="0" w:color="auto"/>
        <w:left w:val="none" w:sz="0" w:space="0" w:color="auto"/>
        <w:bottom w:val="none" w:sz="0" w:space="0" w:color="auto"/>
        <w:right w:val="none" w:sz="0" w:space="0" w:color="auto"/>
      </w:divBdr>
    </w:div>
    <w:div w:id="1102918500">
      <w:bodyDiv w:val="1"/>
      <w:marLeft w:val="0"/>
      <w:marRight w:val="0"/>
      <w:marTop w:val="0"/>
      <w:marBottom w:val="0"/>
      <w:divBdr>
        <w:top w:val="none" w:sz="0" w:space="0" w:color="auto"/>
        <w:left w:val="none" w:sz="0" w:space="0" w:color="auto"/>
        <w:bottom w:val="none" w:sz="0" w:space="0" w:color="auto"/>
        <w:right w:val="none" w:sz="0" w:space="0" w:color="auto"/>
      </w:divBdr>
    </w:div>
    <w:div w:id="1132020771">
      <w:bodyDiv w:val="1"/>
      <w:marLeft w:val="0"/>
      <w:marRight w:val="0"/>
      <w:marTop w:val="0"/>
      <w:marBottom w:val="0"/>
      <w:divBdr>
        <w:top w:val="none" w:sz="0" w:space="0" w:color="auto"/>
        <w:left w:val="none" w:sz="0" w:space="0" w:color="auto"/>
        <w:bottom w:val="none" w:sz="0" w:space="0" w:color="auto"/>
        <w:right w:val="none" w:sz="0" w:space="0" w:color="auto"/>
      </w:divBdr>
    </w:div>
    <w:div w:id="1193809049">
      <w:bodyDiv w:val="1"/>
      <w:marLeft w:val="0"/>
      <w:marRight w:val="0"/>
      <w:marTop w:val="0"/>
      <w:marBottom w:val="0"/>
      <w:divBdr>
        <w:top w:val="none" w:sz="0" w:space="0" w:color="auto"/>
        <w:left w:val="none" w:sz="0" w:space="0" w:color="auto"/>
        <w:bottom w:val="none" w:sz="0" w:space="0" w:color="auto"/>
        <w:right w:val="none" w:sz="0" w:space="0" w:color="auto"/>
      </w:divBdr>
    </w:div>
    <w:div w:id="1215656568">
      <w:bodyDiv w:val="1"/>
      <w:marLeft w:val="0"/>
      <w:marRight w:val="0"/>
      <w:marTop w:val="0"/>
      <w:marBottom w:val="0"/>
      <w:divBdr>
        <w:top w:val="none" w:sz="0" w:space="0" w:color="auto"/>
        <w:left w:val="none" w:sz="0" w:space="0" w:color="auto"/>
        <w:bottom w:val="none" w:sz="0" w:space="0" w:color="auto"/>
        <w:right w:val="none" w:sz="0" w:space="0" w:color="auto"/>
      </w:divBdr>
    </w:div>
    <w:div w:id="1217887385">
      <w:bodyDiv w:val="1"/>
      <w:marLeft w:val="0"/>
      <w:marRight w:val="0"/>
      <w:marTop w:val="0"/>
      <w:marBottom w:val="0"/>
      <w:divBdr>
        <w:top w:val="none" w:sz="0" w:space="0" w:color="auto"/>
        <w:left w:val="none" w:sz="0" w:space="0" w:color="auto"/>
        <w:bottom w:val="none" w:sz="0" w:space="0" w:color="auto"/>
        <w:right w:val="none" w:sz="0" w:space="0" w:color="auto"/>
      </w:divBdr>
    </w:div>
    <w:div w:id="1220751066">
      <w:bodyDiv w:val="1"/>
      <w:marLeft w:val="0"/>
      <w:marRight w:val="0"/>
      <w:marTop w:val="0"/>
      <w:marBottom w:val="0"/>
      <w:divBdr>
        <w:top w:val="none" w:sz="0" w:space="0" w:color="auto"/>
        <w:left w:val="none" w:sz="0" w:space="0" w:color="auto"/>
        <w:bottom w:val="none" w:sz="0" w:space="0" w:color="auto"/>
        <w:right w:val="none" w:sz="0" w:space="0" w:color="auto"/>
      </w:divBdr>
    </w:div>
    <w:div w:id="1260599253">
      <w:bodyDiv w:val="1"/>
      <w:marLeft w:val="0"/>
      <w:marRight w:val="0"/>
      <w:marTop w:val="0"/>
      <w:marBottom w:val="0"/>
      <w:divBdr>
        <w:top w:val="none" w:sz="0" w:space="0" w:color="auto"/>
        <w:left w:val="none" w:sz="0" w:space="0" w:color="auto"/>
        <w:bottom w:val="none" w:sz="0" w:space="0" w:color="auto"/>
        <w:right w:val="none" w:sz="0" w:space="0" w:color="auto"/>
      </w:divBdr>
    </w:div>
    <w:div w:id="1261836001">
      <w:bodyDiv w:val="1"/>
      <w:marLeft w:val="0"/>
      <w:marRight w:val="0"/>
      <w:marTop w:val="0"/>
      <w:marBottom w:val="0"/>
      <w:divBdr>
        <w:top w:val="none" w:sz="0" w:space="0" w:color="auto"/>
        <w:left w:val="none" w:sz="0" w:space="0" w:color="auto"/>
        <w:bottom w:val="none" w:sz="0" w:space="0" w:color="auto"/>
        <w:right w:val="none" w:sz="0" w:space="0" w:color="auto"/>
      </w:divBdr>
    </w:div>
    <w:div w:id="1320957668">
      <w:bodyDiv w:val="1"/>
      <w:marLeft w:val="0"/>
      <w:marRight w:val="0"/>
      <w:marTop w:val="0"/>
      <w:marBottom w:val="0"/>
      <w:divBdr>
        <w:top w:val="none" w:sz="0" w:space="0" w:color="auto"/>
        <w:left w:val="none" w:sz="0" w:space="0" w:color="auto"/>
        <w:bottom w:val="none" w:sz="0" w:space="0" w:color="auto"/>
        <w:right w:val="none" w:sz="0" w:space="0" w:color="auto"/>
      </w:divBdr>
    </w:div>
    <w:div w:id="1355577417">
      <w:bodyDiv w:val="1"/>
      <w:marLeft w:val="0"/>
      <w:marRight w:val="0"/>
      <w:marTop w:val="0"/>
      <w:marBottom w:val="0"/>
      <w:divBdr>
        <w:top w:val="none" w:sz="0" w:space="0" w:color="auto"/>
        <w:left w:val="none" w:sz="0" w:space="0" w:color="auto"/>
        <w:bottom w:val="none" w:sz="0" w:space="0" w:color="auto"/>
        <w:right w:val="none" w:sz="0" w:space="0" w:color="auto"/>
      </w:divBdr>
    </w:div>
    <w:div w:id="1403137003">
      <w:bodyDiv w:val="1"/>
      <w:marLeft w:val="0"/>
      <w:marRight w:val="0"/>
      <w:marTop w:val="0"/>
      <w:marBottom w:val="0"/>
      <w:divBdr>
        <w:top w:val="none" w:sz="0" w:space="0" w:color="auto"/>
        <w:left w:val="none" w:sz="0" w:space="0" w:color="auto"/>
        <w:bottom w:val="none" w:sz="0" w:space="0" w:color="auto"/>
        <w:right w:val="none" w:sz="0" w:space="0" w:color="auto"/>
      </w:divBdr>
    </w:div>
    <w:div w:id="1552766748">
      <w:bodyDiv w:val="1"/>
      <w:marLeft w:val="0"/>
      <w:marRight w:val="0"/>
      <w:marTop w:val="0"/>
      <w:marBottom w:val="0"/>
      <w:divBdr>
        <w:top w:val="none" w:sz="0" w:space="0" w:color="auto"/>
        <w:left w:val="none" w:sz="0" w:space="0" w:color="auto"/>
        <w:bottom w:val="none" w:sz="0" w:space="0" w:color="auto"/>
        <w:right w:val="none" w:sz="0" w:space="0" w:color="auto"/>
      </w:divBdr>
    </w:div>
    <w:div w:id="1619530916">
      <w:bodyDiv w:val="1"/>
      <w:marLeft w:val="0"/>
      <w:marRight w:val="0"/>
      <w:marTop w:val="0"/>
      <w:marBottom w:val="0"/>
      <w:divBdr>
        <w:top w:val="none" w:sz="0" w:space="0" w:color="auto"/>
        <w:left w:val="none" w:sz="0" w:space="0" w:color="auto"/>
        <w:bottom w:val="none" w:sz="0" w:space="0" w:color="auto"/>
        <w:right w:val="none" w:sz="0" w:space="0" w:color="auto"/>
      </w:divBdr>
    </w:div>
    <w:div w:id="1638142518">
      <w:bodyDiv w:val="1"/>
      <w:marLeft w:val="0"/>
      <w:marRight w:val="0"/>
      <w:marTop w:val="0"/>
      <w:marBottom w:val="0"/>
      <w:divBdr>
        <w:top w:val="none" w:sz="0" w:space="0" w:color="auto"/>
        <w:left w:val="none" w:sz="0" w:space="0" w:color="auto"/>
        <w:bottom w:val="none" w:sz="0" w:space="0" w:color="auto"/>
        <w:right w:val="none" w:sz="0" w:space="0" w:color="auto"/>
      </w:divBdr>
    </w:div>
    <w:div w:id="1723138972">
      <w:bodyDiv w:val="1"/>
      <w:marLeft w:val="0"/>
      <w:marRight w:val="0"/>
      <w:marTop w:val="0"/>
      <w:marBottom w:val="0"/>
      <w:divBdr>
        <w:top w:val="none" w:sz="0" w:space="0" w:color="auto"/>
        <w:left w:val="none" w:sz="0" w:space="0" w:color="auto"/>
        <w:bottom w:val="none" w:sz="0" w:space="0" w:color="auto"/>
        <w:right w:val="none" w:sz="0" w:space="0" w:color="auto"/>
      </w:divBdr>
    </w:div>
    <w:div w:id="1733582486">
      <w:bodyDiv w:val="1"/>
      <w:marLeft w:val="0"/>
      <w:marRight w:val="0"/>
      <w:marTop w:val="0"/>
      <w:marBottom w:val="0"/>
      <w:divBdr>
        <w:top w:val="none" w:sz="0" w:space="0" w:color="auto"/>
        <w:left w:val="none" w:sz="0" w:space="0" w:color="auto"/>
        <w:bottom w:val="none" w:sz="0" w:space="0" w:color="auto"/>
        <w:right w:val="none" w:sz="0" w:space="0" w:color="auto"/>
      </w:divBdr>
    </w:div>
    <w:div w:id="1750616238">
      <w:bodyDiv w:val="1"/>
      <w:marLeft w:val="0"/>
      <w:marRight w:val="0"/>
      <w:marTop w:val="0"/>
      <w:marBottom w:val="0"/>
      <w:divBdr>
        <w:top w:val="none" w:sz="0" w:space="0" w:color="auto"/>
        <w:left w:val="none" w:sz="0" w:space="0" w:color="auto"/>
        <w:bottom w:val="none" w:sz="0" w:space="0" w:color="auto"/>
        <w:right w:val="none" w:sz="0" w:space="0" w:color="auto"/>
      </w:divBdr>
    </w:div>
    <w:div w:id="1765295376">
      <w:bodyDiv w:val="1"/>
      <w:marLeft w:val="0"/>
      <w:marRight w:val="0"/>
      <w:marTop w:val="0"/>
      <w:marBottom w:val="0"/>
      <w:divBdr>
        <w:top w:val="none" w:sz="0" w:space="0" w:color="auto"/>
        <w:left w:val="none" w:sz="0" w:space="0" w:color="auto"/>
        <w:bottom w:val="none" w:sz="0" w:space="0" w:color="auto"/>
        <w:right w:val="none" w:sz="0" w:space="0" w:color="auto"/>
      </w:divBdr>
    </w:div>
    <w:div w:id="1776166591">
      <w:bodyDiv w:val="1"/>
      <w:marLeft w:val="0"/>
      <w:marRight w:val="0"/>
      <w:marTop w:val="0"/>
      <w:marBottom w:val="0"/>
      <w:divBdr>
        <w:top w:val="none" w:sz="0" w:space="0" w:color="auto"/>
        <w:left w:val="none" w:sz="0" w:space="0" w:color="auto"/>
        <w:bottom w:val="none" w:sz="0" w:space="0" w:color="auto"/>
        <w:right w:val="none" w:sz="0" w:space="0" w:color="auto"/>
      </w:divBdr>
    </w:div>
    <w:div w:id="1780224414">
      <w:bodyDiv w:val="1"/>
      <w:marLeft w:val="0"/>
      <w:marRight w:val="0"/>
      <w:marTop w:val="0"/>
      <w:marBottom w:val="0"/>
      <w:divBdr>
        <w:top w:val="none" w:sz="0" w:space="0" w:color="auto"/>
        <w:left w:val="none" w:sz="0" w:space="0" w:color="auto"/>
        <w:bottom w:val="none" w:sz="0" w:space="0" w:color="auto"/>
        <w:right w:val="none" w:sz="0" w:space="0" w:color="auto"/>
      </w:divBdr>
    </w:div>
    <w:div w:id="1804080503">
      <w:bodyDiv w:val="1"/>
      <w:marLeft w:val="0"/>
      <w:marRight w:val="0"/>
      <w:marTop w:val="0"/>
      <w:marBottom w:val="0"/>
      <w:divBdr>
        <w:top w:val="none" w:sz="0" w:space="0" w:color="auto"/>
        <w:left w:val="none" w:sz="0" w:space="0" w:color="auto"/>
        <w:bottom w:val="none" w:sz="0" w:space="0" w:color="auto"/>
        <w:right w:val="none" w:sz="0" w:space="0" w:color="auto"/>
      </w:divBdr>
    </w:div>
    <w:div w:id="1842887036">
      <w:bodyDiv w:val="1"/>
      <w:marLeft w:val="0"/>
      <w:marRight w:val="0"/>
      <w:marTop w:val="0"/>
      <w:marBottom w:val="0"/>
      <w:divBdr>
        <w:top w:val="none" w:sz="0" w:space="0" w:color="auto"/>
        <w:left w:val="none" w:sz="0" w:space="0" w:color="auto"/>
        <w:bottom w:val="none" w:sz="0" w:space="0" w:color="auto"/>
        <w:right w:val="none" w:sz="0" w:space="0" w:color="auto"/>
      </w:divBdr>
    </w:div>
    <w:div w:id="1854300110">
      <w:bodyDiv w:val="1"/>
      <w:marLeft w:val="0"/>
      <w:marRight w:val="0"/>
      <w:marTop w:val="0"/>
      <w:marBottom w:val="0"/>
      <w:divBdr>
        <w:top w:val="none" w:sz="0" w:space="0" w:color="auto"/>
        <w:left w:val="none" w:sz="0" w:space="0" w:color="auto"/>
        <w:bottom w:val="none" w:sz="0" w:space="0" w:color="auto"/>
        <w:right w:val="none" w:sz="0" w:space="0" w:color="auto"/>
      </w:divBdr>
    </w:div>
    <w:div w:id="1882210808">
      <w:bodyDiv w:val="1"/>
      <w:marLeft w:val="0"/>
      <w:marRight w:val="0"/>
      <w:marTop w:val="0"/>
      <w:marBottom w:val="0"/>
      <w:divBdr>
        <w:top w:val="none" w:sz="0" w:space="0" w:color="auto"/>
        <w:left w:val="none" w:sz="0" w:space="0" w:color="auto"/>
        <w:bottom w:val="none" w:sz="0" w:space="0" w:color="auto"/>
        <w:right w:val="none" w:sz="0" w:space="0" w:color="auto"/>
      </w:divBdr>
    </w:div>
    <w:div w:id="1903170674">
      <w:bodyDiv w:val="1"/>
      <w:marLeft w:val="0"/>
      <w:marRight w:val="0"/>
      <w:marTop w:val="0"/>
      <w:marBottom w:val="0"/>
      <w:divBdr>
        <w:top w:val="none" w:sz="0" w:space="0" w:color="auto"/>
        <w:left w:val="none" w:sz="0" w:space="0" w:color="auto"/>
        <w:bottom w:val="none" w:sz="0" w:space="0" w:color="auto"/>
        <w:right w:val="none" w:sz="0" w:space="0" w:color="auto"/>
      </w:divBdr>
    </w:div>
    <w:div w:id="2059741034">
      <w:bodyDiv w:val="1"/>
      <w:marLeft w:val="0"/>
      <w:marRight w:val="0"/>
      <w:marTop w:val="0"/>
      <w:marBottom w:val="0"/>
      <w:divBdr>
        <w:top w:val="none" w:sz="0" w:space="0" w:color="auto"/>
        <w:left w:val="none" w:sz="0" w:space="0" w:color="auto"/>
        <w:bottom w:val="none" w:sz="0" w:space="0" w:color="auto"/>
        <w:right w:val="none" w:sz="0" w:space="0" w:color="auto"/>
      </w:divBdr>
    </w:div>
    <w:div w:id="2087649665">
      <w:bodyDiv w:val="1"/>
      <w:marLeft w:val="0"/>
      <w:marRight w:val="0"/>
      <w:marTop w:val="0"/>
      <w:marBottom w:val="0"/>
      <w:divBdr>
        <w:top w:val="none" w:sz="0" w:space="0" w:color="auto"/>
        <w:left w:val="none" w:sz="0" w:space="0" w:color="auto"/>
        <w:bottom w:val="none" w:sz="0" w:space="0" w:color="auto"/>
        <w:right w:val="none" w:sz="0" w:space="0" w:color="auto"/>
      </w:divBdr>
    </w:div>
    <w:div w:id="2090805297">
      <w:bodyDiv w:val="1"/>
      <w:marLeft w:val="0"/>
      <w:marRight w:val="0"/>
      <w:marTop w:val="0"/>
      <w:marBottom w:val="0"/>
      <w:divBdr>
        <w:top w:val="none" w:sz="0" w:space="0" w:color="auto"/>
        <w:left w:val="none" w:sz="0" w:space="0" w:color="auto"/>
        <w:bottom w:val="none" w:sz="0" w:space="0" w:color="auto"/>
        <w:right w:val="none" w:sz="0" w:space="0" w:color="auto"/>
      </w:divBdr>
    </w:div>
    <w:div w:id="2128623972">
      <w:bodyDiv w:val="1"/>
      <w:marLeft w:val="0"/>
      <w:marRight w:val="0"/>
      <w:marTop w:val="0"/>
      <w:marBottom w:val="0"/>
      <w:divBdr>
        <w:top w:val="none" w:sz="0" w:space="0" w:color="auto"/>
        <w:left w:val="none" w:sz="0" w:space="0" w:color="auto"/>
        <w:bottom w:val="none" w:sz="0" w:space="0" w:color="auto"/>
        <w:right w:val="none" w:sz="0" w:space="0" w:color="auto"/>
      </w:divBdr>
    </w:div>
    <w:div w:id="214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6DA3-5DEA-3F42-BF8D-0344C198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3152</Words>
  <Characters>17342</Characters>
  <Application>Microsoft Macintosh Word</Application>
  <DocSecurity>4</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corporativo23</dc:creator>
  <cp:lastModifiedBy>Claudia Tovilla-Borraz</cp:lastModifiedBy>
  <cp:revision>2</cp:revision>
  <cp:lastPrinted>2018-07-17T22:23:00Z</cp:lastPrinted>
  <dcterms:created xsi:type="dcterms:W3CDTF">2018-08-09T16:09:00Z</dcterms:created>
  <dcterms:modified xsi:type="dcterms:W3CDTF">2018-08-09T16:09:00Z</dcterms:modified>
</cp:coreProperties>
</file>