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04C29" w14:textId="4C7C38FD" w:rsidR="00BF5579" w:rsidRPr="008E4A71" w:rsidRDefault="008E4A71">
      <w:pPr>
        <w:rPr>
          <w:rFonts w:ascii="Candara" w:hAnsi="Candara"/>
          <w:b/>
          <w:sz w:val="24"/>
          <w:szCs w:val="24"/>
        </w:rPr>
      </w:pPr>
      <w:bookmarkStart w:id="0" w:name="_GoBack"/>
      <w:bookmarkEnd w:id="0"/>
      <w:r w:rsidRPr="008E4A71">
        <w:rPr>
          <w:rFonts w:ascii="Candara" w:hAnsi="Candara"/>
          <w:b/>
          <w:sz w:val="24"/>
          <w:szCs w:val="24"/>
        </w:rPr>
        <w:t>d</w:t>
      </w:r>
      <w:r w:rsidR="001A234E" w:rsidRPr="008E4A71">
        <w:rPr>
          <w:rFonts w:ascii="Candara" w:hAnsi="Candara"/>
          <w:b/>
          <w:sz w:val="24"/>
          <w:szCs w:val="24"/>
        </w:rPr>
        <w:t xml:space="preserve">) </w:t>
      </w:r>
      <w:r w:rsidRPr="008E4A71">
        <w:rPr>
          <w:rFonts w:ascii="Candara" w:hAnsi="Candara"/>
          <w:b/>
          <w:sz w:val="24"/>
          <w:szCs w:val="24"/>
        </w:rPr>
        <w:t>Plan institucional de Tecnologías de la información (EDN)-Nota descriptiva</w:t>
      </w:r>
      <w:r w:rsidR="001A234E" w:rsidRPr="008E4A71">
        <w:rPr>
          <w:rFonts w:ascii="Candara" w:hAnsi="Candara"/>
          <w:b/>
          <w:sz w:val="24"/>
          <w:szCs w:val="24"/>
        </w:rPr>
        <w:t xml:space="preserve"> </w:t>
      </w:r>
    </w:p>
    <w:p w14:paraId="487B9FFF" w14:textId="77777777" w:rsidR="008E4A71" w:rsidRPr="008E4A71" w:rsidRDefault="008E4A71" w:rsidP="008E4A71">
      <w:pPr>
        <w:pStyle w:val="NormalWeb"/>
        <w:jc w:val="both"/>
        <w:rPr>
          <w:rFonts w:ascii="Candara" w:hAnsi="Candara"/>
          <w:sz w:val="22"/>
          <w:szCs w:val="22"/>
        </w:rPr>
      </w:pPr>
      <w:r w:rsidRPr="008E4A71">
        <w:rPr>
          <w:rFonts w:ascii="Candara" w:hAnsi="Candara"/>
          <w:sz w:val="22"/>
          <w:szCs w:val="22"/>
        </w:rPr>
        <w:t xml:space="preserve">Los proyectos presentados son los que se encuentran debidamente registrados como parte de la Cartera Ejecutiva de Proyectos TIC (CEPTIC) en la plataforma Herramienta de Gestión de Política TIC de la Secretaría de la Función Pública según lo señala el Acuerdo </w:t>
      </w:r>
      <w:r w:rsidRPr="008E4A71">
        <w:rPr>
          <w:rFonts w:ascii="Candara" w:hAnsi="Candara"/>
          <w:color w:val="000000" w:themeColor="text1"/>
          <w:sz w:val="22"/>
          <w:szCs w:val="22"/>
        </w:rPr>
        <w:t>por el que se modifican las políticas y disposiciones para la Estrategia Digital Nacional, en materia de tecnologías de la información y comunicaciones, y en la de seguridad de la información, así como el Manual  Administrativo de Aplicación General en dichas materias en su última reforma publicada del 04/02/2016 en el DOF</w:t>
      </w:r>
      <w:r w:rsidRPr="008E4A71">
        <w:rPr>
          <w:rFonts w:ascii="Candara" w:hAnsi="Candara"/>
          <w:sz w:val="22"/>
          <w:szCs w:val="22"/>
        </w:rPr>
        <w:t>, los cuales están divididos en tres categorías:1.- Proyectos estratégicos, 2.- Proyectos de contratación y 3.- Proyectos de Operación (no se ingresan a la plataforma), para el caso de los dos primeros se requiere aprobación para su ejecución por parte de la Unidad de Gobierno Digital (UGD) para los cuales se cuentan con los dictámenes correspondiente (Anexos).</w:t>
      </w:r>
    </w:p>
    <w:p w14:paraId="49B5D9D8" w14:textId="77777777" w:rsidR="008E4A71" w:rsidRPr="008E4A71" w:rsidRDefault="008E4A71" w:rsidP="008E4A71">
      <w:pPr>
        <w:pStyle w:val="NormalWeb"/>
        <w:rPr>
          <w:rFonts w:ascii="Candara" w:hAnsi="Candara"/>
          <w:sz w:val="22"/>
          <w:szCs w:val="22"/>
        </w:rPr>
      </w:pPr>
      <w:r w:rsidRPr="008E4A71">
        <w:rPr>
          <w:rFonts w:ascii="Candara" w:hAnsi="Candara"/>
          <w:sz w:val="22"/>
          <w:szCs w:val="22"/>
        </w:rPr>
        <w:t>Al momento se han ingresado para solicitar dictamen técnico dos proyectos de contratación que son:</w:t>
      </w:r>
    </w:p>
    <w:tbl>
      <w:tblPr>
        <w:tblStyle w:val="TableGrid0"/>
        <w:tblW w:w="0" w:type="auto"/>
        <w:tblLook w:val="04A0" w:firstRow="1" w:lastRow="0" w:firstColumn="1" w:lastColumn="0" w:noHBand="0" w:noVBand="1"/>
      </w:tblPr>
      <w:tblGrid>
        <w:gridCol w:w="2992"/>
        <w:gridCol w:w="2993"/>
        <w:gridCol w:w="2993"/>
      </w:tblGrid>
      <w:tr w:rsidR="008E4A71" w:rsidRPr="008E4A71" w14:paraId="45838DAA" w14:textId="77777777" w:rsidTr="009C12C8">
        <w:tc>
          <w:tcPr>
            <w:tcW w:w="2992" w:type="dxa"/>
          </w:tcPr>
          <w:p w14:paraId="607315FF" w14:textId="77777777" w:rsidR="008E4A71" w:rsidRPr="008E4A71" w:rsidRDefault="008E4A71" w:rsidP="009C12C8">
            <w:pPr>
              <w:pStyle w:val="NormalWeb"/>
              <w:rPr>
                <w:rFonts w:ascii="Candara" w:hAnsi="Candara"/>
                <w:sz w:val="22"/>
                <w:szCs w:val="22"/>
              </w:rPr>
            </w:pPr>
            <w:r w:rsidRPr="008E4A71">
              <w:rPr>
                <w:rFonts w:ascii="Candara" w:hAnsi="Candara"/>
                <w:sz w:val="22"/>
                <w:szCs w:val="22"/>
              </w:rPr>
              <w:t>Identificador</w:t>
            </w:r>
          </w:p>
        </w:tc>
        <w:tc>
          <w:tcPr>
            <w:tcW w:w="2993" w:type="dxa"/>
          </w:tcPr>
          <w:p w14:paraId="3A1FD25F" w14:textId="77777777" w:rsidR="008E4A71" w:rsidRPr="008E4A71" w:rsidRDefault="008E4A71" w:rsidP="009C12C8">
            <w:pPr>
              <w:pStyle w:val="NormalWeb"/>
              <w:rPr>
                <w:rFonts w:ascii="Candara" w:hAnsi="Candara"/>
                <w:sz w:val="22"/>
                <w:szCs w:val="22"/>
              </w:rPr>
            </w:pPr>
            <w:r w:rsidRPr="008E4A71">
              <w:rPr>
                <w:rFonts w:ascii="Candara" w:hAnsi="Candara"/>
                <w:sz w:val="22"/>
                <w:szCs w:val="22"/>
              </w:rPr>
              <w:t>Proyecto</w:t>
            </w:r>
          </w:p>
        </w:tc>
        <w:tc>
          <w:tcPr>
            <w:tcW w:w="2993" w:type="dxa"/>
          </w:tcPr>
          <w:p w14:paraId="71D64E37" w14:textId="77777777" w:rsidR="008E4A71" w:rsidRPr="008E4A71" w:rsidRDefault="008E4A71" w:rsidP="009C12C8">
            <w:pPr>
              <w:pStyle w:val="NormalWeb"/>
              <w:rPr>
                <w:rFonts w:ascii="Candara" w:hAnsi="Candara"/>
                <w:sz w:val="22"/>
                <w:szCs w:val="22"/>
              </w:rPr>
            </w:pPr>
            <w:r w:rsidRPr="008E4A71">
              <w:rPr>
                <w:rFonts w:ascii="Candara" w:hAnsi="Candara"/>
                <w:sz w:val="22"/>
                <w:szCs w:val="22"/>
              </w:rPr>
              <w:t>Estado</w:t>
            </w:r>
          </w:p>
        </w:tc>
      </w:tr>
      <w:tr w:rsidR="008E4A71" w:rsidRPr="008E4A71" w14:paraId="161600F8" w14:textId="77777777" w:rsidTr="009C12C8">
        <w:tc>
          <w:tcPr>
            <w:tcW w:w="2992" w:type="dxa"/>
          </w:tcPr>
          <w:p w14:paraId="62DE8BFF" w14:textId="77777777" w:rsidR="008E4A71" w:rsidRPr="008E4A71" w:rsidRDefault="008E4A71" w:rsidP="009C12C8">
            <w:pPr>
              <w:pStyle w:val="NormalWeb"/>
              <w:rPr>
                <w:rFonts w:ascii="Candara" w:hAnsi="Candara"/>
                <w:sz w:val="22"/>
                <w:szCs w:val="22"/>
              </w:rPr>
            </w:pPr>
            <w:r w:rsidRPr="008E4A71">
              <w:rPr>
                <w:rFonts w:ascii="Candara" w:hAnsi="Candara"/>
                <w:sz w:val="22"/>
                <w:szCs w:val="22"/>
              </w:rPr>
              <w:t>ECOSUR-PCTIC-001/2018</w:t>
            </w:r>
          </w:p>
        </w:tc>
        <w:tc>
          <w:tcPr>
            <w:tcW w:w="2993" w:type="dxa"/>
          </w:tcPr>
          <w:p w14:paraId="0EAD9C4B" w14:textId="77777777" w:rsidR="008E4A71" w:rsidRPr="008E4A71" w:rsidRDefault="008E4A71" w:rsidP="009C12C8">
            <w:pPr>
              <w:pStyle w:val="NormalWeb"/>
              <w:rPr>
                <w:rFonts w:ascii="Candara" w:hAnsi="Candara"/>
                <w:sz w:val="22"/>
                <w:szCs w:val="22"/>
              </w:rPr>
            </w:pPr>
            <w:r w:rsidRPr="008E4A71">
              <w:rPr>
                <w:rFonts w:ascii="Candara" w:hAnsi="Candara"/>
                <w:sz w:val="22"/>
                <w:szCs w:val="22"/>
              </w:rPr>
              <w:t>Servicio de Mantenimiento al GRP (Goverment Resource Planning-GRP Planeacion de Recursos goubernamentales)</w:t>
            </w:r>
          </w:p>
        </w:tc>
        <w:tc>
          <w:tcPr>
            <w:tcW w:w="2993" w:type="dxa"/>
          </w:tcPr>
          <w:p w14:paraId="355196E1" w14:textId="77777777" w:rsidR="008E4A71" w:rsidRPr="008E4A71" w:rsidRDefault="008E4A71" w:rsidP="009C12C8">
            <w:pPr>
              <w:pStyle w:val="NormalWeb"/>
              <w:rPr>
                <w:rFonts w:ascii="Candara" w:hAnsi="Candara"/>
                <w:sz w:val="22"/>
                <w:szCs w:val="22"/>
              </w:rPr>
            </w:pPr>
            <w:r w:rsidRPr="008E4A71">
              <w:rPr>
                <w:rFonts w:ascii="Candara" w:hAnsi="Candara"/>
                <w:sz w:val="22"/>
                <w:szCs w:val="22"/>
              </w:rPr>
              <w:t>Dictamen técnico favorable con fecha 28/03/2018</w:t>
            </w:r>
          </w:p>
        </w:tc>
      </w:tr>
      <w:tr w:rsidR="008E4A71" w:rsidRPr="008E4A71" w14:paraId="189785A6" w14:textId="77777777" w:rsidTr="009C12C8">
        <w:tc>
          <w:tcPr>
            <w:tcW w:w="2992" w:type="dxa"/>
          </w:tcPr>
          <w:p w14:paraId="652FEBA7" w14:textId="77777777" w:rsidR="008E4A71" w:rsidRPr="008E4A71" w:rsidRDefault="008E4A71" w:rsidP="009C12C8">
            <w:pPr>
              <w:pStyle w:val="NormalWeb"/>
              <w:rPr>
                <w:rFonts w:ascii="Candara" w:hAnsi="Candara"/>
                <w:sz w:val="22"/>
                <w:szCs w:val="22"/>
              </w:rPr>
            </w:pPr>
            <w:r w:rsidRPr="008E4A71">
              <w:rPr>
                <w:rFonts w:ascii="Candara" w:hAnsi="Candara"/>
                <w:sz w:val="22"/>
                <w:szCs w:val="22"/>
              </w:rPr>
              <w:t>ECOSUR-PCTIC-001/2018</w:t>
            </w:r>
          </w:p>
        </w:tc>
        <w:tc>
          <w:tcPr>
            <w:tcW w:w="2993" w:type="dxa"/>
          </w:tcPr>
          <w:p w14:paraId="7A706365" w14:textId="77777777" w:rsidR="008E4A71" w:rsidRPr="008E4A71" w:rsidRDefault="008E4A71" w:rsidP="009C12C8">
            <w:pPr>
              <w:pStyle w:val="NormalWeb"/>
              <w:rPr>
                <w:rFonts w:ascii="Candara" w:hAnsi="Candara"/>
                <w:sz w:val="22"/>
                <w:szCs w:val="22"/>
              </w:rPr>
            </w:pPr>
            <w:r w:rsidRPr="008E4A71">
              <w:rPr>
                <w:rFonts w:ascii="Candara" w:hAnsi="Candara"/>
                <w:sz w:val="22"/>
                <w:szCs w:val="22"/>
              </w:rPr>
              <w:t>Servicios de Mantenimiento y soporte del Sistema Integral para Gestión de Bibliotecas</w:t>
            </w:r>
          </w:p>
        </w:tc>
        <w:tc>
          <w:tcPr>
            <w:tcW w:w="2993" w:type="dxa"/>
          </w:tcPr>
          <w:p w14:paraId="44A211F4" w14:textId="77777777" w:rsidR="008E4A71" w:rsidRPr="008E4A71" w:rsidRDefault="008E4A71" w:rsidP="009C12C8">
            <w:pPr>
              <w:pStyle w:val="NormalWeb"/>
              <w:rPr>
                <w:rFonts w:ascii="Candara" w:hAnsi="Candara"/>
                <w:sz w:val="22"/>
                <w:szCs w:val="22"/>
              </w:rPr>
            </w:pPr>
            <w:r w:rsidRPr="008E4A71">
              <w:rPr>
                <w:rFonts w:ascii="Candara" w:hAnsi="Candara"/>
                <w:sz w:val="22"/>
                <w:szCs w:val="22"/>
              </w:rPr>
              <w:t>Dictamen técnico favorable con fecha 27/04/2018</w:t>
            </w:r>
          </w:p>
        </w:tc>
      </w:tr>
      <w:tr w:rsidR="008E4A71" w:rsidRPr="008E4A71" w14:paraId="3D613D72" w14:textId="77777777" w:rsidTr="009C12C8">
        <w:tc>
          <w:tcPr>
            <w:tcW w:w="2992" w:type="dxa"/>
          </w:tcPr>
          <w:p w14:paraId="07EEFA24" w14:textId="77777777" w:rsidR="008E4A71" w:rsidRPr="008E4A71" w:rsidRDefault="008E4A71" w:rsidP="009C12C8">
            <w:pPr>
              <w:pStyle w:val="NormalWeb"/>
              <w:rPr>
                <w:rFonts w:ascii="Candara" w:hAnsi="Candara"/>
                <w:sz w:val="22"/>
                <w:szCs w:val="22"/>
              </w:rPr>
            </w:pPr>
            <w:r w:rsidRPr="008E4A71">
              <w:rPr>
                <w:rFonts w:ascii="Candara" w:eastAsia="Calibri" w:hAnsi="Candara" w:cs="Calibri"/>
                <w:sz w:val="22"/>
                <w:szCs w:val="22"/>
              </w:rPr>
              <w:t>ECOSUR-PCTIC-014/2018</w:t>
            </w:r>
          </w:p>
        </w:tc>
        <w:tc>
          <w:tcPr>
            <w:tcW w:w="2993" w:type="dxa"/>
          </w:tcPr>
          <w:p w14:paraId="75FED978" w14:textId="77777777" w:rsidR="008E4A71" w:rsidRPr="008E4A71" w:rsidRDefault="008E4A71" w:rsidP="009C12C8">
            <w:pPr>
              <w:pStyle w:val="NormalWeb"/>
              <w:rPr>
                <w:rFonts w:ascii="Candara" w:hAnsi="Candara"/>
                <w:sz w:val="22"/>
                <w:szCs w:val="22"/>
              </w:rPr>
            </w:pPr>
            <w:r w:rsidRPr="008E4A71">
              <w:rPr>
                <w:rFonts w:ascii="Candara" w:eastAsia="Calibri" w:hAnsi="Candara" w:cs="Calibri"/>
                <w:sz w:val="22"/>
                <w:szCs w:val="22"/>
              </w:rPr>
              <w:t>Adecuación del módulo Activos Fijos en el GRP, para poder poder operarlo y transferir la base de datos sistema para el control de activo fijo al mismo.</w:t>
            </w:r>
          </w:p>
        </w:tc>
        <w:tc>
          <w:tcPr>
            <w:tcW w:w="2993" w:type="dxa"/>
          </w:tcPr>
          <w:p w14:paraId="4CE9B8BE" w14:textId="77777777" w:rsidR="008E4A71" w:rsidRPr="008E4A71" w:rsidRDefault="008E4A71" w:rsidP="009C12C8">
            <w:pPr>
              <w:pStyle w:val="NormalWeb"/>
              <w:rPr>
                <w:rFonts w:ascii="Candara" w:hAnsi="Candara"/>
                <w:sz w:val="22"/>
                <w:szCs w:val="22"/>
              </w:rPr>
            </w:pPr>
            <w:r w:rsidRPr="008E4A71">
              <w:rPr>
                <w:rFonts w:ascii="Candara" w:hAnsi="Candara"/>
                <w:sz w:val="22"/>
                <w:szCs w:val="22"/>
              </w:rPr>
              <w:t>Dictamen técnico favorable con fecha 13/07/2018</w:t>
            </w:r>
          </w:p>
        </w:tc>
      </w:tr>
      <w:tr w:rsidR="008E4A71" w:rsidRPr="008E4A71" w14:paraId="42D7DBA2" w14:textId="77777777" w:rsidTr="009C12C8">
        <w:tc>
          <w:tcPr>
            <w:tcW w:w="2992" w:type="dxa"/>
          </w:tcPr>
          <w:p w14:paraId="567F11E2" w14:textId="77777777" w:rsidR="008E4A71" w:rsidRPr="008E4A71" w:rsidRDefault="008E4A71" w:rsidP="009C12C8">
            <w:pPr>
              <w:pStyle w:val="NormalWeb"/>
              <w:rPr>
                <w:rFonts w:ascii="Candara" w:hAnsi="Candara"/>
                <w:sz w:val="22"/>
                <w:szCs w:val="22"/>
              </w:rPr>
            </w:pPr>
            <w:r w:rsidRPr="008E4A71">
              <w:rPr>
                <w:rFonts w:ascii="Candara" w:eastAsia="Calibri" w:hAnsi="Candara" w:cs="Calibri"/>
                <w:sz w:val="22"/>
                <w:szCs w:val="22"/>
              </w:rPr>
              <w:t>ECOSUR-PETIC-002/2018</w:t>
            </w:r>
          </w:p>
        </w:tc>
        <w:tc>
          <w:tcPr>
            <w:tcW w:w="2993" w:type="dxa"/>
          </w:tcPr>
          <w:p w14:paraId="63DDF247" w14:textId="77777777" w:rsidR="008E4A71" w:rsidRPr="008E4A71" w:rsidRDefault="008E4A71" w:rsidP="009C12C8">
            <w:pPr>
              <w:pStyle w:val="NormalWeb"/>
              <w:rPr>
                <w:rFonts w:ascii="Candara" w:hAnsi="Candara"/>
                <w:sz w:val="22"/>
                <w:szCs w:val="22"/>
              </w:rPr>
            </w:pPr>
            <w:r w:rsidRPr="008E4A71">
              <w:rPr>
                <w:rFonts w:ascii="Candara" w:eastAsia="Calibri" w:hAnsi="Candara" w:cs="Calibri"/>
                <w:sz w:val="22"/>
                <w:szCs w:val="22"/>
              </w:rPr>
              <w:t>Análisis y diseño del Sistema de Gestión Integral Institucional (Académico, Posgrado, Vinculación y Administración)</w:t>
            </w:r>
          </w:p>
        </w:tc>
        <w:tc>
          <w:tcPr>
            <w:tcW w:w="2993" w:type="dxa"/>
          </w:tcPr>
          <w:p w14:paraId="54A46C34" w14:textId="77777777" w:rsidR="008E4A71" w:rsidRPr="008E4A71" w:rsidRDefault="008E4A71" w:rsidP="009C12C8">
            <w:pPr>
              <w:pStyle w:val="NormalWeb"/>
              <w:rPr>
                <w:rFonts w:ascii="Candara" w:hAnsi="Candara"/>
                <w:sz w:val="22"/>
                <w:szCs w:val="22"/>
              </w:rPr>
            </w:pPr>
            <w:r w:rsidRPr="008E4A71">
              <w:rPr>
                <w:rFonts w:ascii="Candara" w:hAnsi="Candara"/>
                <w:sz w:val="22"/>
                <w:szCs w:val="22"/>
              </w:rPr>
              <w:t>Dictamen técnico favorable con fecha 13/07/201</w:t>
            </w:r>
          </w:p>
        </w:tc>
      </w:tr>
    </w:tbl>
    <w:p w14:paraId="6E11C066" w14:textId="4A39FAFC" w:rsidR="008E4A71" w:rsidRPr="008E4A71" w:rsidRDefault="008E4A71" w:rsidP="008E4A71">
      <w:pPr>
        <w:pStyle w:val="NormalWeb"/>
        <w:rPr>
          <w:rFonts w:ascii="Candara" w:hAnsi="Candara"/>
          <w:sz w:val="22"/>
          <w:szCs w:val="22"/>
        </w:rPr>
      </w:pPr>
      <w:r w:rsidRPr="008E4A71">
        <w:rPr>
          <w:rFonts w:ascii="Candara" w:hAnsi="Candara"/>
          <w:sz w:val="22"/>
          <w:szCs w:val="22"/>
        </w:rPr>
        <w:t>En el caso de los proyectos estratégicos:</w:t>
      </w:r>
    </w:p>
    <w:p w14:paraId="3A0EEE22" w14:textId="77777777" w:rsidR="008E4A71" w:rsidRPr="008E4A71" w:rsidRDefault="008E4A71" w:rsidP="008E4A71">
      <w:pPr>
        <w:pStyle w:val="NormalWeb"/>
        <w:rPr>
          <w:rFonts w:ascii="Candara" w:hAnsi="Candara"/>
          <w:sz w:val="22"/>
          <w:szCs w:val="22"/>
        </w:rPr>
      </w:pPr>
      <w:r w:rsidRPr="008E4A71">
        <w:rPr>
          <w:rFonts w:ascii="Candara" w:hAnsi="Candara"/>
          <w:sz w:val="22"/>
          <w:szCs w:val="22"/>
        </w:rPr>
        <w:t>ECOSUR-PETIC-003/2018.- Licenciamento Enrollment Education Solutions Microsoft se realizará de forma consolidada  con CONACYT y los CPIs y se estará ingresará a la HGPTIC para obtener el dictamen técnico correspondiente.</w:t>
      </w:r>
    </w:p>
    <w:p w14:paraId="69D26989" w14:textId="77777777" w:rsidR="008E4A71" w:rsidRPr="008E4A71" w:rsidRDefault="008E4A71" w:rsidP="008E4A71">
      <w:pPr>
        <w:pStyle w:val="NormalWeb"/>
        <w:rPr>
          <w:rFonts w:ascii="Candara" w:eastAsia="Arial" w:hAnsi="Candara" w:cs="Arial"/>
          <w:sz w:val="22"/>
          <w:szCs w:val="22"/>
        </w:rPr>
      </w:pPr>
      <w:r w:rsidRPr="008E4A71">
        <w:rPr>
          <w:rFonts w:ascii="Candara" w:hAnsi="Candara"/>
          <w:sz w:val="22"/>
          <w:szCs w:val="22"/>
        </w:rPr>
        <w:lastRenderedPageBreak/>
        <w:t xml:space="preserve">ECOSUR-PETIC-002/2018.- </w:t>
      </w:r>
      <w:r w:rsidRPr="008E4A71">
        <w:rPr>
          <w:rFonts w:ascii="Candara" w:eastAsia="Arial" w:hAnsi="Candara" w:cs="Arial"/>
          <w:sz w:val="22"/>
          <w:szCs w:val="22"/>
        </w:rPr>
        <w:t>Se está en el proceso de análisis de información y diseño de la plataforma a desarrollar</w:t>
      </w:r>
    </w:p>
    <w:p w14:paraId="0E644560" w14:textId="0A14FFD1" w:rsidR="00E54089" w:rsidRPr="008E4A71" w:rsidRDefault="008E4A71" w:rsidP="008E4A71">
      <w:pPr>
        <w:pStyle w:val="NormalWeb"/>
        <w:rPr>
          <w:rFonts w:ascii="Candara" w:hAnsi="Candara"/>
          <w:sz w:val="22"/>
          <w:szCs w:val="22"/>
        </w:rPr>
      </w:pPr>
      <w:r w:rsidRPr="008E4A71">
        <w:rPr>
          <w:rFonts w:ascii="Candara" w:eastAsia="Arial" w:hAnsi="Candara" w:cs="Arial"/>
          <w:sz w:val="22"/>
          <w:szCs w:val="22"/>
        </w:rPr>
        <w:t>Para la mayoría de los proyectos se tiene el factor correspondiente al presupuesto para poder iniciar co</w:t>
      </w:r>
      <w:r>
        <w:rPr>
          <w:rFonts w:ascii="Candara" w:eastAsia="Arial" w:hAnsi="Candara" w:cs="Arial"/>
          <w:sz w:val="22"/>
          <w:szCs w:val="22"/>
        </w:rPr>
        <w:t>n los procesos correspondientes.</w:t>
      </w:r>
    </w:p>
    <w:sectPr w:rsidR="00E54089" w:rsidRPr="008E4A71" w:rsidSect="00CD230A">
      <w:headerReference w:type="default" r:id="rId7"/>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CF806" w14:textId="77777777" w:rsidR="00F368D9" w:rsidRDefault="00F368D9" w:rsidP="001A234E">
      <w:pPr>
        <w:spacing w:after="0" w:line="240" w:lineRule="auto"/>
      </w:pPr>
      <w:r>
        <w:separator/>
      </w:r>
    </w:p>
  </w:endnote>
  <w:endnote w:type="continuationSeparator" w:id="0">
    <w:p w14:paraId="067810F1" w14:textId="77777777" w:rsidR="00F368D9" w:rsidRDefault="00F368D9" w:rsidP="001A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31B83" w14:textId="77777777" w:rsidR="00F368D9" w:rsidRDefault="00F368D9" w:rsidP="001A234E">
      <w:pPr>
        <w:spacing w:after="0" w:line="240" w:lineRule="auto"/>
      </w:pPr>
      <w:r>
        <w:separator/>
      </w:r>
    </w:p>
  </w:footnote>
  <w:footnote w:type="continuationSeparator" w:id="0">
    <w:p w14:paraId="475ADEC4" w14:textId="77777777" w:rsidR="00F368D9" w:rsidRDefault="00F368D9" w:rsidP="001A23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AA1D0" w14:textId="0086603F" w:rsidR="00547448" w:rsidRDefault="004D4FA5" w:rsidP="001608E0">
    <w:pPr>
      <w:widowControl w:val="0"/>
      <w:tabs>
        <w:tab w:val="left" w:pos="6946"/>
      </w:tabs>
      <w:spacing w:after="0" w:line="200" w:lineRule="atLeast"/>
      <w:ind w:left="2127" w:right="1183"/>
      <w:jc w:val="center"/>
      <w:rPr>
        <w:rFonts w:ascii="Candara" w:eastAsia="Arial Unicode MS" w:hAnsi="Candara" w:cs="Arial Unicode MS"/>
        <w:b/>
        <w:noProof/>
        <w:kern w:val="1"/>
        <w:sz w:val="28"/>
        <w:szCs w:val="28"/>
        <w:lang w:val="es-ES" w:eastAsia="es-ES"/>
      </w:rPr>
    </w:pPr>
    <w:r w:rsidRPr="00B44B14">
      <w:rPr>
        <w:noProof/>
        <w:lang w:val="es-ES" w:eastAsia="es-ES"/>
      </w:rPr>
      <mc:AlternateContent>
        <mc:Choice Requires="wps">
          <w:drawing>
            <wp:anchor distT="45720" distB="45720" distL="114300" distR="114300" simplePos="0" relativeHeight="251678720" behindDoc="0" locked="0" layoutInCell="1" allowOverlap="1" wp14:anchorId="198EB183" wp14:editId="6B64DA93">
              <wp:simplePos x="0" y="0"/>
              <wp:positionH relativeFrom="column">
                <wp:posOffset>1420571</wp:posOffset>
              </wp:positionH>
              <wp:positionV relativeFrom="paragraph">
                <wp:posOffset>-165354</wp:posOffset>
              </wp:positionV>
              <wp:extent cx="3026410" cy="1102995"/>
              <wp:effectExtent l="0" t="0" r="0" b="952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102995"/>
                      </a:xfrm>
                      <a:prstGeom prst="rect">
                        <a:avLst/>
                      </a:prstGeom>
                      <a:solidFill>
                        <a:srgbClr val="FFFFFF"/>
                      </a:solidFill>
                      <a:ln w="9525">
                        <a:noFill/>
                        <a:miter lim="800000"/>
                        <a:headEnd/>
                        <a:tailEnd/>
                      </a:ln>
                    </wps:spPr>
                    <wps:txbx>
                      <w:txbxContent>
                        <w:p w14:paraId="04FF0FAD" w14:textId="77777777" w:rsidR="004D4FA5" w:rsidRPr="00C73007" w:rsidRDefault="004D4FA5" w:rsidP="004D4FA5">
                          <w:pPr>
                            <w:jc w:val="center"/>
                            <w:rPr>
                              <w:rFonts w:ascii="Candara" w:hAnsi="Candara"/>
                              <w:b/>
                              <w:sz w:val="28"/>
                              <w:szCs w:val="28"/>
                            </w:rPr>
                          </w:pPr>
                          <w:r w:rsidRPr="00C73007">
                            <w:rPr>
                              <w:rFonts w:ascii="Candara" w:hAnsi="Candara"/>
                              <w:b/>
                              <w:sz w:val="28"/>
                              <w:szCs w:val="28"/>
                            </w:rPr>
                            <w:t>C</w:t>
                          </w:r>
                          <w:r>
                            <w:rPr>
                              <w:rFonts w:ascii="Candara" w:hAnsi="Candara"/>
                              <w:b/>
                              <w:sz w:val="28"/>
                              <w:szCs w:val="28"/>
                            </w:rPr>
                            <w:t xml:space="preserve">omité de Control y Desempeño Institucional </w:t>
                          </w:r>
                        </w:p>
                        <w:p w14:paraId="4809162C" w14:textId="77777777" w:rsidR="004D4FA5" w:rsidRPr="00C73007" w:rsidRDefault="004D4FA5" w:rsidP="004D4FA5">
                          <w:pPr>
                            <w:jc w:val="center"/>
                            <w:rPr>
                              <w:rFonts w:ascii="Candara" w:hAnsi="Candara"/>
                              <w:b/>
                              <w:sz w:val="28"/>
                              <w:szCs w:val="28"/>
                            </w:rPr>
                          </w:pPr>
                          <w:r>
                            <w:rPr>
                              <w:rFonts w:ascii="Candara" w:hAnsi="Candara"/>
                              <w:b/>
                              <w:sz w:val="28"/>
                              <w:szCs w:val="28"/>
                            </w:rPr>
                            <w:t>Cuarta Sesión Ordinaria</w:t>
                          </w:r>
                          <w:r w:rsidRPr="00C73007">
                            <w:rPr>
                              <w:rFonts w:ascii="Candara" w:hAnsi="Candara"/>
                              <w:b/>
                              <w:sz w:val="28"/>
                              <w:szCs w:val="28"/>
                            </w:rPr>
                            <w:t xml:space="preserve"> 201</w:t>
                          </w:r>
                          <w:r>
                            <w:rPr>
                              <w:rFonts w:ascii="Candara" w:hAnsi="Candara"/>
                              <w:b/>
                              <w:sz w:val="28"/>
                              <w:szCs w:val="28"/>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198EB183" id="_x0000_t202" coordsize="21600,21600" o:spt="202" path="m,l,21600r21600,l21600,xe">
              <v:stroke joinstyle="miter"/>
              <v:path gradientshapeok="t" o:connecttype="rect"/>
            </v:shapetype>
            <v:shape id="Cuadro de texto 2" o:spid="_x0000_s1026" type="#_x0000_t202" style="position:absolute;left:0;text-align:left;margin-left:111.85pt;margin-top:-13pt;width:238.3pt;height:79.2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" stroked="f">
              <v:textbox style="mso-fit-shape-to-text:t">
                <w:txbxContent>
                  <w:p w14:paraId="04FF0FAD" w14:textId="77777777" w:rsidR="004D4FA5" w:rsidRPr="00C73007" w:rsidRDefault="004D4FA5" w:rsidP="004D4FA5">
                    <w:pPr>
                      <w:jc w:val="center"/>
                      <w:rPr>
                        <w:rFonts w:ascii="Candara" w:hAnsi="Candara"/>
                        <w:b/>
                        <w:sz w:val="28"/>
                        <w:szCs w:val="28"/>
                      </w:rPr>
                    </w:pPr>
                    <w:r w:rsidRPr="00C73007">
                      <w:rPr>
                        <w:rFonts w:ascii="Candara" w:hAnsi="Candara"/>
                        <w:b/>
                        <w:sz w:val="28"/>
                        <w:szCs w:val="28"/>
                      </w:rPr>
                      <w:t>C</w:t>
                    </w:r>
                    <w:r>
                      <w:rPr>
                        <w:rFonts w:ascii="Candara" w:hAnsi="Candara"/>
                        <w:b/>
                        <w:sz w:val="28"/>
                        <w:szCs w:val="28"/>
                      </w:rPr>
                      <w:t xml:space="preserve">omité de Control y Desempeño Institucional </w:t>
                    </w:r>
                  </w:p>
                  <w:p w14:paraId="4809162C" w14:textId="77777777" w:rsidR="004D4FA5" w:rsidRPr="00C73007" w:rsidRDefault="004D4FA5" w:rsidP="004D4FA5">
                    <w:pPr>
                      <w:jc w:val="center"/>
                      <w:rPr>
                        <w:rFonts w:ascii="Candara" w:hAnsi="Candara"/>
                        <w:b/>
                        <w:sz w:val="28"/>
                        <w:szCs w:val="28"/>
                      </w:rPr>
                    </w:pPr>
                    <w:r>
                      <w:rPr>
                        <w:rFonts w:ascii="Candara" w:hAnsi="Candara"/>
                        <w:b/>
                        <w:sz w:val="28"/>
                        <w:szCs w:val="28"/>
                      </w:rPr>
                      <w:t>Cuarta Sesión Ordinaria</w:t>
                    </w:r>
                    <w:r w:rsidRPr="00C73007">
                      <w:rPr>
                        <w:rFonts w:ascii="Candara" w:hAnsi="Candara"/>
                        <w:b/>
                        <w:sz w:val="28"/>
                        <w:szCs w:val="28"/>
                      </w:rPr>
                      <w:t xml:space="preserve"> 201</w:t>
                    </w:r>
                    <w:r>
                      <w:rPr>
                        <w:rFonts w:ascii="Candara" w:hAnsi="Candara"/>
                        <w:b/>
                        <w:sz w:val="28"/>
                        <w:szCs w:val="28"/>
                      </w:rPr>
                      <w:t>8</w:t>
                    </w:r>
                  </w:p>
                </w:txbxContent>
              </v:textbox>
              <w10:wrap type="square"/>
            </v:shape>
          </w:pict>
        </mc:Fallback>
      </mc:AlternateContent>
    </w:r>
    <w:r w:rsidRPr="00A742A2">
      <w:rPr>
        <w:noProof/>
        <w:lang w:val="es-ES" w:eastAsia="es-ES"/>
      </w:rPr>
      <w:drawing>
        <wp:anchor distT="0" distB="0" distL="114300" distR="114300" simplePos="0" relativeHeight="251669504" behindDoc="0" locked="0" layoutInCell="1" allowOverlap="1" wp14:anchorId="2C8BC6CB" wp14:editId="102568FD">
          <wp:simplePos x="0" y="0"/>
          <wp:positionH relativeFrom="column">
            <wp:posOffset>5247514</wp:posOffset>
          </wp:positionH>
          <wp:positionV relativeFrom="paragraph">
            <wp:posOffset>70897</wp:posOffset>
          </wp:positionV>
          <wp:extent cx="680314" cy="578241"/>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NACYT.jpg"/>
                  <pic:cNvPicPr/>
                </pic:nvPicPr>
                <pic:blipFill>
                  <a:blip r:embed="rId1">
                    <a:extLst>
                      <a:ext uri="{28A0092B-C50C-407E-A947-70E740481C1C}">
                        <a14:useLocalDpi xmlns:a14="http://schemas.microsoft.com/office/drawing/2010/main" val="0"/>
                      </a:ext>
                    </a:extLst>
                  </a:blip>
                  <a:stretch>
                    <a:fillRect/>
                  </a:stretch>
                </pic:blipFill>
                <pic:spPr>
                  <a:xfrm>
                    <a:off x="0" y="0"/>
                    <a:ext cx="683231" cy="580720"/>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42880" behindDoc="0" locked="0" layoutInCell="1" allowOverlap="1" wp14:anchorId="47B2F972" wp14:editId="555167CF">
          <wp:simplePos x="0" y="0"/>
          <wp:positionH relativeFrom="column">
            <wp:posOffset>4596460</wp:posOffset>
          </wp:positionH>
          <wp:positionV relativeFrom="paragraph">
            <wp:posOffset>54618</wp:posOffset>
          </wp:positionV>
          <wp:extent cx="504749" cy="61563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OSUR.png"/>
                  <pic:cNvPicPr/>
                </pic:nvPicPr>
                <pic:blipFill>
                  <a:blip r:embed="rId2">
                    <a:extLst>
                      <a:ext uri="{28A0092B-C50C-407E-A947-70E740481C1C}">
                        <a14:useLocalDpi xmlns:a14="http://schemas.microsoft.com/office/drawing/2010/main" val="0"/>
                      </a:ext>
                    </a:extLst>
                  </a:blip>
                  <a:stretch>
                    <a:fillRect/>
                  </a:stretch>
                </pic:blipFill>
                <pic:spPr>
                  <a:xfrm>
                    <a:off x="0" y="0"/>
                    <a:ext cx="506156" cy="617353"/>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98176" behindDoc="0" locked="0" layoutInCell="1" allowOverlap="1" wp14:anchorId="24305BEE" wp14:editId="1520D549">
          <wp:simplePos x="0" y="0"/>
          <wp:positionH relativeFrom="column">
            <wp:posOffset>-173050</wp:posOffset>
          </wp:positionH>
          <wp:positionV relativeFrom="paragraph">
            <wp:posOffset>73940</wp:posOffset>
          </wp:positionV>
          <wp:extent cx="1572768" cy="684656"/>
          <wp:effectExtent l="0" t="0" r="889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fp.jpg"/>
                  <pic:cNvPicPr/>
                </pic:nvPicPr>
                <pic:blipFill>
                  <a:blip r:embed="rId3">
                    <a:extLst>
                      <a:ext uri="{28A0092B-C50C-407E-A947-70E740481C1C}">
                        <a14:useLocalDpi xmlns:a14="http://schemas.microsoft.com/office/drawing/2010/main" val="0"/>
                      </a:ext>
                    </a:extLst>
                  </a:blip>
                  <a:stretch>
                    <a:fillRect/>
                  </a:stretch>
                </pic:blipFill>
                <pic:spPr>
                  <a:xfrm>
                    <a:off x="0" y="0"/>
                    <a:ext cx="1576804" cy="686413"/>
                  </a:xfrm>
                  <a:prstGeom prst="rect">
                    <a:avLst/>
                  </a:prstGeom>
                </pic:spPr>
              </pic:pic>
            </a:graphicData>
          </a:graphic>
          <wp14:sizeRelH relativeFrom="page">
            <wp14:pctWidth>0</wp14:pctWidth>
          </wp14:sizeRelH>
          <wp14:sizeRelV relativeFrom="page">
            <wp14:pctHeight>0</wp14:pctHeight>
          </wp14:sizeRelV>
        </wp:anchor>
      </w:drawing>
    </w:r>
  </w:p>
  <w:p w14:paraId="0099B7E4" w14:textId="65468139" w:rsidR="004D4FA5" w:rsidRDefault="004D4FA5" w:rsidP="004D4FA5">
    <w:pPr>
      <w:ind w:left="-567" w:firstLine="141"/>
    </w:pPr>
  </w:p>
  <w:p w14:paraId="414E72BE" w14:textId="2417C42D" w:rsidR="00547448" w:rsidRDefault="00547448">
    <w:pPr>
      <w:pStyle w:val="Encabezado"/>
    </w:pPr>
  </w:p>
  <w:p w14:paraId="3ECDC179" w14:textId="7684119A" w:rsidR="004D4FA5" w:rsidRDefault="004D4FA5">
    <w:pPr>
      <w:pStyle w:val="Encabezado"/>
    </w:pPr>
  </w:p>
  <w:p w14:paraId="43A42832" w14:textId="77777777" w:rsidR="004D4FA5" w:rsidRDefault="004D4F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0A"/>
    <w:rsid w:val="000273F1"/>
    <w:rsid w:val="000621EC"/>
    <w:rsid w:val="00096E60"/>
    <w:rsid w:val="00120F7D"/>
    <w:rsid w:val="00137E8D"/>
    <w:rsid w:val="001608E0"/>
    <w:rsid w:val="001A234E"/>
    <w:rsid w:val="001C3408"/>
    <w:rsid w:val="00287D0A"/>
    <w:rsid w:val="002931D1"/>
    <w:rsid w:val="002E635F"/>
    <w:rsid w:val="00314F29"/>
    <w:rsid w:val="0033409C"/>
    <w:rsid w:val="00392ECA"/>
    <w:rsid w:val="003F68A3"/>
    <w:rsid w:val="004166EB"/>
    <w:rsid w:val="00496AD2"/>
    <w:rsid w:val="004D4FA5"/>
    <w:rsid w:val="004E2697"/>
    <w:rsid w:val="00547448"/>
    <w:rsid w:val="005B42B2"/>
    <w:rsid w:val="005D2C21"/>
    <w:rsid w:val="005D576B"/>
    <w:rsid w:val="0065458C"/>
    <w:rsid w:val="0065627E"/>
    <w:rsid w:val="006C3429"/>
    <w:rsid w:val="006C70E9"/>
    <w:rsid w:val="00712404"/>
    <w:rsid w:val="007342BA"/>
    <w:rsid w:val="007507D1"/>
    <w:rsid w:val="007A734D"/>
    <w:rsid w:val="0089207E"/>
    <w:rsid w:val="008D41AB"/>
    <w:rsid w:val="008E346C"/>
    <w:rsid w:val="008E4A71"/>
    <w:rsid w:val="0091329C"/>
    <w:rsid w:val="00932E1B"/>
    <w:rsid w:val="00991C13"/>
    <w:rsid w:val="009E6A04"/>
    <w:rsid w:val="00A3030A"/>
    <w:rsid w:val="00A83E4E"/>
    <w:rsid w:val="00A91B3F"/>
    <w:rsid w:val="00BE7EAB"/>
    <w:rsid w:val="00BF5579"/>
    <w:rsid w:val="00C037EF"/>
    <w:rsid w:val="00C1086C"/>
    <w:rsid w:val="00C84952"/>
    <w:rsid w:val="00C921E2"/>
    <w:rsid w:val="00C97308"/>
    <w:rsid w:val="00CD230A"/>
    <w:rsid w:val="00D140B2"/>
    <w:rsid w:val="00DD23F8"/>
    <w:rsid w:val="00DE6BD5"/>
    <w:rsid w:val="00E54089"/>
    <w:rsid w:val="00E673CE"/>
    <w:rsid w:val="00F368D9"/>
    <w:rsid w:val="00FA0F9E"/>
    <w:rsid w:val="00FE1D4F"/>
    <w:rsid w:val="00FE479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41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23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30A"/>
    <w:rPr>
      <w:rFonts w:ascii="Tahoma" w:hAnsi="Tahoma" w:cs="Tahoma"/>
      <w:sz w:val="16"/>
      <w:szCs w:val="16"/>
    </w:rPr>
  </w:style>
  <w:style w:type="paragraph" w:styleId="Encabezado">
    <w:name w:val="header"/>
    <w:basedOn w:val="Normal"/>
    <w:link w:val="EncabezadoCar"/>
    <w:uiPriority w:val="99"/>
    <w:unhideWhenUsed/>
    <w:rsid w:val="001A23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234E"/>
  </w:style>
  <w:style w:type="paragraph" w:styleId="Piedepgina">
    <w:name w:val="footer"/>
    <w:basedOn w:val="Normal"/>
    <w:link w:val="PiedepginaCar"/>
    <w:uiPriority w:val="99"/>
    <w:unhideWhenUsed/>
    <w:rsid w:val="001A23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234E"/>
  </w:style>
  <w:style w:type="character" w:styleId="Nmerodepgina">
    <w:name w:val="page number"/>
    <w:basedOn w:val="Fuentedeprrafopredeter"/>
    <w:uiPriority w:val="99"/>
    <w:semiHidden/>
    <w:unhideWhenUsed/>
    <w:rsid w:val="000273F1"/>
  </w:style>
  <w:style w:type="paragraph" w:styleId="NormalWeb">
    <w:name w:val="Normal (Web)"/>
    <w:basedOn w:val="Normal"/>
    <w:uiPriority w:val="99"/>
    <w:unhideWhenUsed/>
    <w:rsid w:val="008E4A71"/>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eGrid0">
    <w:name w:val="Table Grid0"/>
    <w:basedOn w:val="Tablanormal"/>
    <w:uiPriority w:val="59"/>
    <w:rsid w:val="008E4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23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30A"/>
    <w:rPr>
      <w:rFonts w:ascii="Tahoma" w:hAnsi="Tahoma" w:cs="Tahoma"/>
      <w:sz w:val="16"/>
      <w:szCs w:val="16"/>
    </w:rPr>
  </w:style>
  <w:style w:type="paragraph" w:styleId="Encabezado">
    <w:name w:val="header"/>
    <w:basedOn w:val="Normal"/>
    <w:link w:val="EncabezadoCar"/>
    <w:uiPriority w:val="99"/>
    <w:unhideWhenUsed/>
    <w:rsid w:val="001A23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234E"/>
  </w:style>
  <w:style w:type="paragraph" w:styleId="Piedepgina">
    <w:name w:val="footer"/>
    <w:basedOn w:val="Normal"/>
    <w:link w:val="PiedepginaCar"/>
    <w:uiPriority w:val="99"/>
    <w:unhideWhenUsed/>
    <w:rsid w:val="001A23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234E"/>
  </w:style>
  <w:style w:type="character" w:styleId="Nmerodepgina">
    <w:name w:val="page number"/>
    <w:basedOn w:val="Fuentedeprrafopredeter"/>
    <w:uiPriority w:val="99"/>
    <w:semiHidden/>
    <w:unhideWhenUsed/>
    <w:rsid w:val="000273F1"/>
  </w:style>
  <w:style w:type="paragraph" w:styleId="NormalWeb">
    <w:name w:val="Normal (Web)"/>
    <w:basedOn w:val="Normal"/>
    <w:uiPriority w:val="99"/>
    <w:unhideWhenUsed/>
    <w:rsid w:val="008E4A71"/>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eGrid0">
    <w:name w:val="Table Grid0"/>
    <w:basedOn w:val="Tablanormal"/>
    <w:uiPriority w:val="59"/>
    <w:rsid w:val="008E4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284">
      <w:bodyDiv w:val="1"/>
      <w:marLeft w:val="0"/>
      <w:marRight w:val="0"/>
      <w:marTop w:val="0"/>
      <w:marBottom w:val="0"/>
      <w:divBdr>
        <w:top w:val="none" w:sz="0" w:space="0" w:color="auto"/>
        <w:left w:val="none" w:sz="0" w:space="0" w:color="auto"/>
        <w:bottom w:val="none" w:sz="0" w:space="0" w:color="auto"/>
        <w:right w:val="none" w:sz="0" w:space="0" w:color="auto"/>
      </w:divBdr>
    </w:div>
    <w:div w:id="525024962">
      <w:bodyDiv w:val="1"/>
      <w:marLeft w:val="0"/>
      <w:marRight w:val="0"/>
      <w:marTop w:val="0"/>
      <w:marBottom w:val="0"/>
      <w:divBdr>
        <w:top w:val="none" w:sz="0" w:space="0" w:color="auto"/>
        <w:left w:val="none" w:sz="0" w:space="0" w:color="auto"/>
        <w:bottom w:val="none" w:sz="0" w:space="0" w:color="auto"/>
        <w:right w:val="none" w:sz="0" w:space="0" w:color="auto"/>
      </w:divBdr>
    </w:div>
    <w:div w:id="688217129">
      <w:bodyDiv w:val="1"/>
      <w:marLeft w:val="0"/>
      <w:marRight w:val="0"/>
      <w:marTop w:val="0"/>
      <w:marBottom w:val="0"/>
      <w:divBdr>
        <w:top w:val="none" w:sz="0" w:space="0" w:color="auto"/>
        <w:left w:val="none" w:sz="0" w:space="0" w:color="auto"/>
        <w:bottom w:val="none" w:sz="0" w:space="0" w:color="auto"/>
        <w:right w:val="none" w:sz="0" w:space="0" w:color="auto"/>
      </w:divBdr>
    </w:div>
    <w:div w:id="154455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2042</Characters>
  <Application>Microsoft Macintosh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mirella</dc:creator>
  <cp:lastModifiedBy>Claudia Tovilla-Borraz</cp:lastModifiedBy>
  <cp:revision>2</cp:revision>
  <cp:lastPrinted>2017-08-11T16:31:00Z</cp:lastPrinted>
  <dcterms:created xsi:type="dcterms:W3CDTF">2018-11-06T20:11:00Z</dcterms:created>
  <dcterms:modified xsi:type="dcterms:W3CDTF">2018-11-06T20:11:00Z</dcterms:modified>
</cp:coreProperties>
</file>