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EA59" w14:textId="77777777" w:rsidR="00B15700" w:rsidRDefault="00B15700" w:rsidP="00131A25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3D5462A7" w14:textId="65F01339" w:rsidR="00C0454F" w:rsidRPr="00C0454F" w:rsidRDefault="00947A9F" w:rsidP="00131A25">
      <w:pPr>
        <w:spacing w:after="0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IX. Seguimiento al</w:t>
      </w:r>
      <w:r w:rsidR="00131A25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 xml:space="preserve">Informe </w:t>
      </w:r>
      <w:r w:rsidR="00131A25">
        <w:rPr>
          <w:rFonts w:ascii="Candara" w:hAnsi="Candara"/>
          <w:b/>
          <w:sz w:val="28"/>
          <w:szCs w:val="28"/>
        </w:rPr>
        <w:t>a</w:t>
      </w:r>
      <w:r>
        <w:rPr>
          <w:rFonts w:ascii="Candara" w:hAnsi="Candara"/>
          <w:b/>
          <w:sz w:val="28"/>
          <w:szCs w:val="28"/>
        </w:rPr>
        <w:t xml:space="preserve">nual de </w:t>
      </w:r>
      <w:r w:rsidR="00131A25">
        <w:rPr>
          <w:rFonts w:ascii="Candara" w:hAnsi="Candara"/>
          <w:b/>
          <w:sz w:val="28"/>
          <w:szCs w:val="28"/>
        </w:rPr>
        <w:t>a</w:t>
      </w:r>
      <w:r w:rsidR="00C0454F" w:rsidRPr="00C0454F">
        <w:rPr>
          <w:rFonts w:ascii="Candara" w:hAnsi="Candara"/>
          <w:b/>
          <w:sz w:val="28"/>
          <w:szCs w:val="28"/>
        </w:rPr>
        <w:t>ctividades del Comité de Ética y de Prevención de Conflicto</w:t>
      </w:r>
      <w:r>
        <w:rPr>
          <w:rFonts w:ascii="Candara" w:hAnsi="Candara"/>
          <w:b/>
          <w:sz w:val="28"/>
          <w:szCs w:val="28"/>
        </w:rPr>
        <w:t>s</w:t>
      </w:r>
      <w:r w:rsidR="00C0454F" w:rsidRPr="00C0454F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 xml:space="preserve">de </w:t>
      </w:r>
      <w:r w:rsidR="00C0454F" w:rsidRPr="00C0454F">
        <w:rPr>
          <w:rFonts w:ascii="Candara" w:hAnsi="Candara"/>
          <w:b/>
          <w:sz w:val="28"/>
          <w:szCs w:val="28"/>
        </w:rPr>
        <w:t>Inter</w:t>
      </w:r>
      <w:r w:rsidR="00CB5B65">
        <w:rPr>
          <w:rFonts w:ascii="Candara" w:hAnsi="Candara"/>
          <w:b/>
          <w:sz w:val="28"/>
          <w:szCs w:val="28"/>
        </w:rPr>
        <w:t>eses</w:t>
      </w:r>
      <w:r w:rsidR="00C0454F" w:rsidRPr="00C0454F">
        <w:rPr>
          <w:rFonts w:ascii="Candara" w:hAnsi="Candara"/>
          <w:b/>
          <w:sz w:val="28"/>
          <w:szCs w:val="28"/>
        </w:rPr>
        <w:t>.</w:t>
      </w:r>
    </w:p>
    <w:p w14:paraId="010F9E4E" w14:textId="77777777" w:rsidR="00B14D0A" w:rsidRDefault="00B14D0A" w:rsidP="00B14D0A">
      <w:pPr>
        <w:spacing w:after="0"/>
        <w:jc w:val="both"/>
        <w:rPr>
          <w:rFonts w:ascii="Candara" w:hAnsi="Candara"/>
        </w:rPr>
      </w:pPr>
    </w:p>
    <w:p w14:paraId="611BBECA" w14:textId="5D73215A" w:rsidR="00F227C4" w:rsidRPr="00F227C4" w:rsidRDefault="00F227C4" w:rsidP="00B14D0A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F227C4">
        <w:rPr>
          <w:rFonts w:ascii="Candara" w:hAnsi="Candara"/>
          <w:b/>
          <w:sz w:val="28"/>
          <w:szCs w:val="28"/>
        </w:rPr>
        <w:t>1. Denuncias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4102"/>
        <w:gridCol w:w="4722"/>
      </w:tblGrid>
      <w:tr w:rsidR="003635E6" w:rsidRPr="004E4644" w14:paraId="57F6E00D" w14:textId="77777777" w:rsidTr="00A30531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0A8D9" w14:textId="768D38CE" w:rsidR="003635E6" w:rsidRPr="004E4644" w:rsidRDefault="003635E6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4E4644">
              <w:rPr>
                <w:rFonts w:ascii="Candara" w:hAnsi="Candara" w:cs="Arial"/>
                <w:b/>
                <w:sz w:val="20"/>
                <w:szCs w:val="20"/>
              </w:rPr>
              <w:t xml:space="preserve">No. </w:t>
            </w:r>
            <w:r w:rsidR="008952C4" w:rsidRPr="004E4644">
              <w:rPr>
                <w:rFonts w:ascii="Candara" w:hAnsi="Candara" w:cs="Arial"/>
                <w:b/>
                <w:sz w:val="20"/>
                <w:szCs w:val="20"/>
              </w:rPr>
              <w:t>De queja</w:t>
            </w:r>
          </w:p>
          <w:p w14:paraId="02C6E545" w14:textId="6ED9F05A" w:rsidR="003635E6" w:rsidRPr="004E4644" w:rsidRDefault="003635E6" w:rsidP="008952C4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4E4644">
              <w:rPr>
                <w:rFonts w:ascii="Candara" w:hAnsi="Candara" w:cs="Arial"/>
                <w:b/>
                <w:sz w:val="20"/>
                <w:szCs w:val="20"/>
              </w:rPr>
              <w:t>(</w:t>
            </w:r>
            <w:r w:rsidR="008952C4" w:rsidRPr="004E4644">
              <w:rPr>
                <w:rFonts w:ascii="Candara" w:hAnsi="Candara" w:cs="Arial"/>
                <w:b/>
                <w:sz w:val="20"/>
                <w:szCs w:val="20"/>
              </w:rPr>
              <w:t>n</w:t>
            </w:r>
            <w:r w:rsidRPr="004E4644">
              <w:rPr>
                <w:rFonts w:ascii="Candara" w:hAnsi="Candara" w:cs="Arial"/>
                <w:b/>
                <w:sz w:val="20"/>
                <w:szCs w:val="20"/>
              </w:rPr>
              <w:t>o./</w:t>
            </w:r>
            <w:r w:rsidR="008952C4" w:rsidRPr="004E4644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 w:rsidRPr="004E4644">
              <w:rPr>
                <w:rFonts w:ascii="Candara" w:hAnsi="Candara" w:cs="Arial"/>
                <w:b/>
                <w:sz w:val="20"/>
                <w:szCs w:val="20"/>
              </w:rPr>
              <w:t>ño)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64B47" w14:textId="350FB898" w:rsidR="003635E6" w:rsidRPr="004E4644" w:rsidRDefault="008952C4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4E4644">
              <w:rPr>
                <w:rFonts w:ascii="Candara" w:hAnsi="Candara" w:cs="Arial"/>
                <w:b/>
                <w:sz w:val="20"/>
                <w:szCs w:val="20"/>
              </w:rPr>
              <w:t>Asunto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2BA03" w14:textId="4D04C6E6" w:rsidR="003635E6" w:rsidRPr="004E4644" w:rsidRDefault="008952C4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4E4644">
              <w:rPr>
                <w:rFonts w:ascii="Candara" w:hAnsi="Candara" w:cs="Arial"/>
                <w:b/>
                <w:sz w:val="20"/>
                <w:szCs w:val="20"/>
              </w:rPr>
              <w:t>Acciones realizadas hasta su conclusión</w:t>
            </w:r>
          </w:p>
        </w:tc>
      </w:tr>
      <w:tr w:rsidR="00403CE7" w:rsidRPr="004E4644" w14:paraId="4CBEAF89" w14:textId="77777777" w:rsidTr="00465BFA">
        <w:trPr>
          <w:trHeight w:val="34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032" w14:textId="14FE57AA" w:rsidR="00403CE7" w:rsidRPr="004E4644" w:rsidRDefault="00403CE7" w:rsidP="00403CE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D4A59">
              <w:rPr>
                <w:rFonts w:ascii="Arial" w:hAnsi="Arial" w:cs="Arial"/>
                <w:b/>
              </w:rPr>
              <w:t>00</w:t>
            </w:r>
            <w:r w:rsidR="00294E9A">
              <w:rPr>
                <w:rFonts w:ascii="Arial" w:hAnsi="Arial" w:cs="Arial"/>
                <w:b/>
              </w:rPr>
              <w:t>5</w:t>
            </w:r>
            <w:r w:rsidRPr="000D4A59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EB3" w14:textId="5DD4D0EE" w:rsidR="00403CE7" w:rsidRDefault="00403CE7" w:rsidP="00403CE7">
            <w:pPr>
              <w:rPr>
                <w:rFonts w:ascii="Arial" w:hAnsi="Arial" w:cs="Arial"/>
              </w:rPr>
            </w:pPr>
            <w:r w:rsidRPr="000D4A59">
              <w:rPr>
                <w:rFonts w:ascii="Arial" w:hAnsi="Arial" w:cs="Arial"/>
              </w:rPr>
              <w:t>Denuncia de</w:t>
            </w:r>
            <w:r w:rsidR="007804D1">
              <w:rPr>
                <w:rFonts w:ascii="Arial" w:hAnsi="Arial" w:cs="Arial"/>
              </w:rPr>
              <w:t xml:space="preserve"> una</w:t>
            </w:r>
            <w:r w:rsidRPr="000D4A59">
              <w:rPr>
                <w:rFonts w:ascii="Arial" w:hAnsi="Arial" w:cs="Arial"/>
              </w:rPr>
              <w:t xml:space="preserve"> estudiante de doctorado </w:t>
            </w:r>
            <w:r w:rsidR="00DA51CE">
              <w:rPr>
                <w:rFonts w:ascii="Arial" w:hAnsi="Arial" w:cs="Arial"/>
              </w:rPr>
              <w:t xml:space="preserve">de la Unidad San Cristóbal </w:t>
            </w:r>
            <w:r w:rsidRPr="000D4A59">
              <w:rPr>
                <w:rFonts w:ascii="Arial" w:hAnsi="Arial" w:cs="Arial"/>
              </w:rPr>
              <w:t>contra su comité tutelar por faltas de respeto y acoso en el trabajo.</w:t>
            </w:r>
            <w:r w:rsidR="00DA51CE">
              <w:rPr>
                <w:rFonts w:ascii="Arial" w:hAnsi="Arial" w:cs="Arial"/>
              </w:rPr>
              <w:t xml:space="preserve"> Cabe destacar que la estudiante reprobó su examen predoctoral y fue dada de baja del posgrado.</w:t>
            </w:r>
          </w:p>
          <w:p w14:paraId="18F1801B" w14:textId="5ADCA742" w:rsidR="00294E9A" w:rsidRPr="00294E9A" w:rsidRDefault="00294E9A" w:rsidP="0040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el informe anterior esta denuncia apareció como la 004/19, pero en el SSECCOE </w:t>
            </w:r>
            <w:r w:rsidR="007804D1">
              <w:rPr>
                <w:rFonts w:ascii="Arial" w:hAnsi="Arial" w:cs="Arial"/>
              </w:rPr>
              <w:t>está registrada</w:t>
            </w:r>
            <w:r>
              <w:rPr>
                <w:rFonts w:ascii="Arial" w:hAnsi="Arial" w:cs="Arial"/>
              </w:rPr>
              <w:t xml:space="preserve"> como la 005/19, por lo que se deja así para </w:t>
            </w:r>
            <w:r w:rsidR="007804D1">
              <w:rPr>
                <w:rFonts w:ascii="Arial" w:hAnsi="Arial" w:cs="Arial"/>
              </w:rPr>
              <w:t>que haya concordancia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94B" w14:textId="11A8FE15" w:rsidR="00403CE7" w:rsidRPr="00D16322" w:rsidRDefault="00403CE7" w:rsidP="00403CE7">
            <w:pPr>
              <w:pStyle w:val="Prrafodelista"/>
              <w:tabs>
                <w:tab w:val="left" w:pos="2517"/>
              </w:tabs>
              <w:ind w:left="18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0D4A59">
              <w:rPr>
                <w:rFonts w:ascii="Arial" w:hAnsi="Arial" w:cs="Arial"/>
              </w:rPr>
              <w:t xml:space="preserve">El CEPCI </w:t>
            </w:r>
            <w:r>
              <w:rPr>
                <w:rFonts w:ascii="Arial" w:hAnsi="Arial" w:cs="Arial"/>
              </w:rPr>
              <w:t>ya emitió resolución, propuso acciones de capacitación para el director del comité tutorial y para uno de los asesores a quien</w:t>
            </w:r>
            <w:r w:rsidR="00504007">
              <w:rPr>
                <w:rFonts w:ascii="Arial" w:hAnsi="Arial" w:cs="Arial"/>
              </w:rPr>
              <w:t xml:space="preserve"> la estudiante</w:t>
            </w:r>
            <w:r>
              <w:rPr>
                <w:rFonts w:ascii="Arial" w:hAnsi="Arial" w:cs="Arial"/>
              </w:rPr>
              <w:t xml:space="preserve"> denunció explícitamente. Por otro lado, se declaró incompetente para atender dos peticiones específicas de la estudiante: extender una constancia para decir que su baja se dio por cuestiones administrativas y no académicas, y para </w:t>
            </w:r>
            <w:r w:rsidR="00504007">
              <w:rPr>
                <w:rFonts w:ascii="Arial" w:hAnsi="Arial" w:cs="Arial"/>
              </w:rPr>
              <w:t>señalar que los resultados de su investigación le pertenecen y puede darles el uso académico que ella decida.</w:t>
            </w:r>
          </w:p>
        </w:tc>
      </w:tr>
      <w:tr w:rsidR="00504007" w:rsidRPr="004E4644" w14:paraId="4C953F12" w14:textId="77777777" w:rsidTr="00BC7FB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610AF0" w14:textId="505E1723" w:rsidR="00504007" w:rsidRPr="004E4644" w:rsidRDefault="00504007" w:rsidP="0050400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D4A59">
              <w:rPr>
                <w:rFonts w:ascii="Arial" w:hAnsi="Arial" w:cs="Arial"/>
                <w:b/>
              </w:rPr>
              <w:t>00</w:t>
            </w:r>
            <w:r w:rsidR="00294E9A">
              <w:rPr>
                <w:rFonts w:ascii="Arial" w:hAnsi="Arial" w:cs="Arial"/>
                <w:b/>
              </w:rPr>
              <w:t>6</w:t>
            </w:r>
            <w:r w:rsidRPr="000D4A59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ED6FCF" w14:textId="3786017C" w:rsidR="00504007" w:rsidRPr="004E4644" w:rsidRDefault="00504007" w:rsidP="00504007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 w:rsidRPr="000D4A59">
              <w:rPr>
                <w:rFonts w:ascii="Arial" w:hAnsi="Arial" w:cs="Arial"/>
              </w:rPr>
              <w:t xml:space="preserve">Denuncia de estudiante de maestría </w:t>
            </w:r>
            <w:r w:rsidR="00DA51CE">
              <w:rPr>
                <w:rFonts w:ascii="Arial" w:hAnsi="Arial" w:cs="Arial"/>
              </w:rPr>
              <w:t xml:space="preserve"> de la Unidad San Cristóbal </w:t>
            </w:r>
            <w:r w:rsidRPr="000D4A59">
              <w:rPr>
                <w:rFonts w:ascii="Arial" w:hAnsi="Arial" w:cs="Arial"/>
              </w:rPr>
              <w:t>contra</w:t>
            </w:r>
            <w:r w:rsidR="00DA51CE">
              <w:rPr>
                <w:rFonts w:ascii="Arial" w:hAnsi="Arial" w:cs="Arial"/>
              </w:rPr>
              <w:t xml:space="preserve"> un</w:t>
            </w:r>
            <w:r w:rsidRPr="000D4A59">
              <w:rPr>
                <w:rFonts w:ascii="Arial" w:hAnsi="Arial" w:cs="Arial"/>
              </w:rPr>
              <w:t xml:space="preserve"> docente, que </w:t>
            </w:r>
            <w:r w:rsidR="00DA51CE">
              <w:rPr>
                <w:rFonts w:ascii="Arial" w:hAnsi="Arial" w:cs="Arial"/>
              </w:rPr>
              <w:t xml:space="preserve">en su momento se desempeñaba como </w:t>
            </w:r>
            <w:r w:rsidRPr="000D4A59">
              <w:rPr>
                <w:rFonts w:ascii="Arial" w:hAnsi="Arial" w:cs="Arial"/>
              </w:rPr>
              <w:t>coordinador de la Unidad San Cristóbal, por ha</w:t>
            </w:r>
            <w:r>
              <w:rPr>
                <w:rFonts w:ascii="Arial" w:hAnsi="Arial" w:cs="Arial"/>
              </w:rPr>
              <w:t>b</w:t>
            </w:r>
            <w:r w:rsidRPr="000D4A59">
              <w:rPr>
                <w:rFonts w:ascii="Arial" w:hAnsi="Arial" w:cs="Arial"/>
              </w:rPr>
              <w:t>er utilizado un lenguaje inapropiado en una clase.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70AC7" w14:textId="24BB3FFF" w:rsidR="00504007" w:rsidRPr="00465BFA" w:rsidRDefault="00504007" w:rsidP="00504007">
            <w:pPr>
              <w:pStyle w:val="Prrafodelista"/>
              <w:tabs>
                <w:tab w:val="left" w:pos="2517"/>
              </w:tabs>
              <w:ind w:left="18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0D4A59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CEPCI emitió una resolución</w:t>
            </w:r>
            <w:r w:rsidR="007804D1">
              <w:rPr>
                <w:rFonts w:ascii="Arial" w:hAnsi="Arial" w:cs="Arial"/>
              </w:rPr>
              <w:t xml:space="preserve"> que consiste en</w:t>
            </w:r>
            <w:r>
              <w:rPr>
                <w:rFonts w:ascii="Arial" w:hAnsi="Arial" w:cs="Arial"/>
              </w:rPr>
              <w:t xml:space="preserve"> acciones de capacitación para el investigador, además de evitar expresiones y chistes sexistas cuando esté frente a grupo.</w:t>
            </w:r>
          </w:p>
        </w:tc>
      </w:tr>
      <w:tr w:rsidR="00504007" w:rsidRPr="004E4644" w14:paraId="099FAD4B" w14:textId="77777777" w:rsidTr="00BC7FB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05" w14:textId="5AE35776" w:rsidR="00504007" w:rsidRPr="004E4644" w:rsidRDefault="00504007" w:rsidP="0050400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D4A59">
              <w:rPr>
                <w:rFonts w:ascii="Arial" w:hAnsi="Arial" w:cs="Arial"/>
                <w:b/>
              </w:rPr>
              <w:t>00</w:t>
            </w:r>
            <w:r w:rsidR="00294E9A">
              <w:rPr>
                <w:rFonts w:ascii="Arial" w:hAnsi="Arial" w:cs="Arial"/>
                <w:b/>
              </w:rPr>
              <w:t>7</w:t>
            </w:r>
            <w:r w:rsidRPr="000D4A59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B8D" w14:textId="6347B574" w:rsidR="00504007" w:rsidRPr="00A30531" w:rsidRDefault="00504007" w:rsidP="00504007">
            <w:pPr>
              <w:rPr>
                <w:rFonts w:ascii="Candara" w:hAnsi="Candara"/>
                <w:sz w:val="20"/>
                <w:szCs w:val="20"/>
              </w:rPr>
            </w:pPr>
            <w:r w:rsidRPr="000D4A59">
              <w:rPr>
                <w:rFonts w:ascii="Arial" w:hAnsi="Arial" w:cs="Arial"/>
              </w:rPr>
              <w:t>Denuncia de estudiante</w:t>
            </w:r>
            <w:r>
              <w:rPr>
                <w:rFonts w:ascii="Arial" w:hAnsi="Arial" w:cs="Arial"/>
              </w:rPr>
              <w:t xml:space="preserve"> de la maestría de la Unidad San Cristóbal contra el coordinador del posgrado y contra su director de tesis por </w:t>
            </w:r>
            <w:r w:rsidR="00DA51CE">
              <w:rPr>
                <w:rFonts w:ascii="Arial" w:hAnsi="Arial" w:cs="Arial"/>
              </w:rPr>
              <w:t>obstaculizar su cambio de director de tesis</w:t>
            </w:r>
            <w:r w:rsidR="00A55B3D">
              <w:rPr>
                <w:rFonts w:ascii="Arial" w:hAnsi="Arial" w:cs="Arial"/>
              </w:rPr>
              <w:t xml:space="preserve">, </w:t>
            </w:r>
            <w:r w:rsidR="00DA51CE">
              <w:rPr>
                <w:rFonts w:ascii="Arial" w:hAnsi="Arial" w:cs="Arial"/>
              </w:rPr>
              <w:t>l</w:t>
            </w:r>
            <w:r w:rsidR="00A55B3D">
              <w:rPr>
                <w:rFonts w:ascii="Arial" w:hAnsi="Arial" w:cs="Arial"/>
              </w:rPr>
              <w:t>o</w:t>
            </w:r>
            <w:r w:rsidR="00DA51CE">
              <w:rPr>
                <w:rFonts w:ascii="Arial" w:hAnsi="Arial" w:cs="Arial"/>
              </w:rPr>
              <w:t xml:space="preserve"> cual desde la perspectiva de la estudiante</w:t>
            </w:r>
            <w:r w:rsidR="00A55B3D">
              <w:rPr>
                <w:rFonts w:ascii="Arial" w:hAnsi="Arial" w:cs="Arial"/>
              </w:rPr>
              <w:t xml:space="preserve"> no se resolvió según la normativa por haber conflicto de interés, pues el coordinador de posgrado es amigo de su director de tesis</w:t>
            </w:r>
            <w:r w:rsidR="007804D1">
              <w:rPr>
                <w:rFonts w:ascii="Arial" w:hAnsi="Arial" w:cs="Arial"/>
              </w:rPr>
              <w:t xml:space="preserve"> y refiere haberse sentido discriminada por ser indígena.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982" w14:textId="64C96835" w:rsidR="00504007" w:rsidRPr="006B63DB" w:rsidRDefault="00DA51CE" w:rsidP="006B63DB">
            <w:pPr>
              <w:pStyle w:val="Prrafodelista"/>
              <w:tabs>
                <w:tab w:val="left" w:pos="2517"/>
              </w:tabs>
              <w:ind w:left="180"/>
              <w:jc w:val="both"/>
              <w:rPr>
                <w:rFonts w:ascii="Arial" w:hAnsi="Arial" w:cs="Arial"/>
              </w:rPr>
            </w:pPr>
            <w:r w:rsidRPr="000D4A59">
              <w:rPr>
                <w:rFonts w:ascii="Arial" w:hAnsi="Arial" w:cs="Arial"/>
              </w:rPr>
              <w:t>El CEPCI calificó el caso como de su competencia y se conformó un subcomité para su atención.</w:t>
            </w:r>
            <w:r w:rsidR="006B63DB">
              <w:rPr>
                <w:rFonts w:ascii="Arial" w:hAnsi="Arial" w:cs="Arial"/>
              </w:rPr>
              <w:t xml:space="preserve"> </w:t>
            </w:r>
            <w:r w:rsidRPr="006B63DB">
              <w:rPr>
                <w:rFonts w:ascii="Arial" w:hAnsi="Arial" w:cs="Arial"/>
              </w:rPr>
              <w:t>El subcomité está realizando su trabajo de entrevistas.</w:t>
            </w:r>
          </w:p>
        </w:tc>
      </w:tr>
      <w:tr w:rsidR="00DA51CE" w:rsidRPr="004E4644" w14:paraId="10A494ED" w14:textId="77777777" w:rsidTr="00A30531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7DD5A" w14:textId="1E17BB2A" w:rsidR="00DA51CE" w:rsidRDefault="00DA51CE" w:rsidP="00DA51CE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D4A59">
              <w:rPr>
                <w:rFonts w:ascii="Arial" w:hAnsi="Arial" w:cs="Arial"/>
                <w:b/>
              </w:rPr>
              <w:t>00</w:t>
            </w:r>
            <w:r w:rsidR="00294E9A">
              <w:rPr>
                <w:rFonts w:ascii="Arial" w:hAnsi="Arial" w:cs="Arial"/>
                <w:b/>
              </w:rPr>
              <w:t>8</w:t>
            </w:r>
            <w:r w:rsidRPr="000D4A59"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3BD5A" w14:textId="3B517FE2" w:rsidR="00DA51CE" w:rsidRPr="003B34CE" w:rsidRDefault="00DA51CE" w:rsidP="00DA51CE">
            <w:pPr>
              <w:rPr>
                <w:rFonts w:ascii="Candara" w:hAnsi="Candara"/>
                <w:sz w:val="20"/>
                <w:szCs w:val="20"/>
              </w:rPr>
            </w:pPr>
            <w:r w:rsidRPr="000D4A59">
              <w:rPr>
                <w:rFonts w:ascii="Arial" w:hAnsi="Arial" w:cs="Arial"/>
              </w:rPr>
              <w:t xml:space="preserve">Denuncia de </w:t>
            </w:r>
            <w:r w:rsidR="00E026F1">
              <w:rPr>
                <w:rFonts w:ascii="Arial" w:hAnsi="Arial" w:cs="Arial"/>
              </w:rPr>
              <w:t xml:space="preserve">técnicos académicos del Departamento de Salud contra el coordinador </w:t>
            </w:r>
            <w:r w:rsidR="007804D1">
              <w:rPr>
                <w:rFonts w:ascii="Arial" w:hAnsi="Arial" w:cs="Arial"/>
              </w:rPr>
              <w:t xml:space="preserve">del Departamento </w:t>
            </w:r>
            <w:r w:rsidR="00E026F1">
              <w:rPr>
                <w:rFonts w:ascii="Arial" w:hAnsi="Arial" w:cs="Arial"/>
              </w:rPr>
              <w:t>por haber dado instrucciones para “vigilar” sus horarios de entrada y salida, lo cual cal consideran como una actitud intimidatoria.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5F828" w14:textId="77777777" w:rsidR="00DA51CE" w:rsidRPr="000D4A59" w:rsidRDefault="00DA51CE" w:rsidP="00DA51CE">
            <w:pPr>
              <w:pStyle w:val="Prrafodelista"/>
              <w:tabs>
                <w:tab w:val="left" w:pos="2517"/>
              </w:tabs>
              <w:ind w:left="180"/>
              <w:jc w:val="both"/>
              <w:rPr>
                <w:rFonts w:ascii="Arial" w:hAnsi="Arial" w:cs="Arial"/>
              </w:rPr>
            </w:pPr>
            <w:r w:rsidRPr="000D4A59">
              <w:rPr>
                <w:rFonts w:ascii="Arial" w:hAnsi="Arial" w:cs="Arial"/>
              </w:rPr>
              <w:t>El CEPCI calificó el caso como de su competencia y se conformó un subcomité para su atención.</w:t>
            </w:r>
          </w:p>
          <w:p w14:paraId="4E0428F8" w14:textId="2872A544" w:rsidR="00DA51CE" w:rsidRDefault="00DA51CE" w:rsidP="00DA51CE">
            <w:pPr>
              <w:pStyle w:val="Prrafodelista"/>
              <w:tabs>
                <w:tab w:val="left" w:pos="2517"/>
              </w:tabs>
              <w:ind w:left="180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El subcomité </w:t>
            </w:r>
            <w:r w:rsidR="00E026F1">
              <w:rPr>
                <w:rFonts w:ascii="Arial" w:hAnsi="Arial" w:cs="Arial"/>
              </w:rPr>
              <w:t>ya concluyó las entrevistas y en breve emitirá su documento de análisis y recomendaciones.</w:t>
            </w:r>
          </w:p>
        </w:tc>
      </w:tr>
    </w:tbl>
    <w:p w14:paraId="22462EC4" w14:textId="77777777" w:rsidR="001B5CAA" w:rsidRDefault="001B5CAA" w:rsidP="00F227C4">
      <w:pPr>
        <w:spacing w:after="0"/>
        <w:jc w:val="both"/>
        <w:rPr>
          <w:rFonts w:ascii="Candara" w:hAnsi="Candara"/>
          <w:b/>
          <w:sz w:val="28"/>
          <w:szCs w:val="28"/>
          <w:lang w:val="es-ES"/>
        </w:rPr>
      </w:pPr>
    </w:p>
    <w:p w14:paraId="76B30579" w14:textId="77777777" w:rsidR="006B63DB" w:rsidRDefault="006B63DB" w:rsidP="006D5E36">
      <w:pPr>
        <w:spacing w:after="0"/>
        <w:jc w:val="both"/>
        <w:rPr>
          <w:rFonts w:ascii="Candara" w:hAnsi="Candara"/>
          <w:b/>
          <w:sz w:val="28"/>
          <w:szCs w:val="28"/>
          <w:lang w:val="es-ES"/>
        </w:rPr>
      </w:pPr>
    </w:p>
    <w:p w14:paraId="7677E621" w14:textId="1DAFA754" w:rsidR="00F227C4" w:rsidRPr="00F227C4" w:rsidRDefault="00F227C4" w:rsidP="006D5E36">
      <w:pPr>
        <w:spacing w:after="0"/>
        <w:jc w:val="both"/>
        <w:rPr>
          <w:rFonts w:ascii="Candara" w:hAnsi="Candara"/>
          <w:b/>
          <w:sz w:val="28"/>
          <w:szCs w:val="28"/>
          <w:lang w:val="es-ES"/>
        </w:rPr>
      </w:pPr>
      <w:r w:rsidRPr="00F227C4">
        <w:rPr>
          <w:rFonts w:ascii="Candara" w:hAnsi="Candara"/>
          <w:b/>
          <w:sz w:val="28"/>
          <w:szCs w:val="28"/>
          <w:lang w:val="es-ES"/>
        </w:rPr>
        <w:t xml:space="preserve">2. </w:t>
      </w:r>
      <w:r w:rsidR="00C84521">
        <w:rPr>
          <w:rFonts w:ascii="Candara" w:hAnsi="Candara"/>
          <w:b/>
          <w:sz w:val="28"/>
          <w:szCs w:val="28"/>
          <w:lang w:val="es-ES"/>
        </w:rPr>
        <w:t>Seguimiento al Informe Anual de A</w:t>
      </w:r>
      <w:r w:rsidR="006D5E36" w:rsidRPr="006D5E36">
        <w:rPr>
          <w:rFonts w:ascii="Candara" w:hAnsi="Candara"/>
          <w:b/>
          <w:sz w:val="28"/>
          <w:szCs w:val="28"/>
          <w:lang w:val="es-ES"/>
        </w:rPr>
        <w:t xml:space="preserve">ctividades </w:t>
      </w:r>
      <w:r w:rsidR="006D5E36">
        <w:rPr>
          <w:rFonts w:ascii="Candara" w:hAnsi="Candara"/>
          <w:b/>
          <w:sz w:val="28"/>
          <w:szCs w:val="28"/>
          <w:lang w:val="es-ES"/>
        </w:rPr>
        <w:t xml:space="preserve">(IAA). </w:t>
      </w:r>
    </w:p>
    <w:p w14:paraId="0085D6DE" w14:textId="77777777" w:rsidR="00B14D0A" w:rsidRDefault="00B14D0A" w:rsidP="00B14D0A">
      <w:pPr>
        <w:spacing w:after="0"/>
        <w:jc w:val="both"/>
        <w:rPr>
          <w:rFonts w:ascii="Candara" w:hAnsi="Candara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3544"/>
      </w:tblGrid>
      <w:tr w:rsidR="00E67C3F" w:rsidRPr="0020360A" w14:paraId="66C2243E" w14:textId="77777777" w:rsidTr="003B1866">
        <w:trPr>
          <w:trHeight w:val="359"/>
        </w:trPr>
        <w:tc>
          <w:tcPr>
            <w:tcW w:w="2547" w:type="dxa"/>
          </w:tcPr>
          <w:p w14:paraId="434CB320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  <w:r w:rsidRPr="0020360A">
              <w:rPr>
                <w:rFonts w:ascii="Arial" w:hAnsi="Arial" w:cs="Arial"/>
                <w:lang w:val="es-ES"/>
              </w:rPr>
              <w:t>Objetivo</w:t>
            </w:r>
          </w:p>
        </w:tc>
        <w:tc>
          <w:tcPr>
            <w:tcW w:w="2126" w:type="dxa"/>
          </w:tcPr>
          <w:p w14:paraId="70809BAD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  <w:r w:rsidRPr="0020360A">
              <w:rPr>
                <w:rFonts w:ascii="Arial" w:hAnsi="Arial" w:cs="Arial"/>
                <w:lang w:val="es-ES"/>
              </w:rPr>
              <w:t>Meta</w:t>
            </w:r>
          </w:p>
        </w:tc>
        <w:tc>
          <w:tcPr>
            <w:tcW w:w="2268" w:type="dxa"/>
          </w:tcPr>
          <w:p w14:paraId="10E13FE0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  <w:r w:rsidRPr="0020360A">
              <w:rPr>
                <w:rFonts w:ascii="Arial" w:hAnsi="Arial" w:cs="Arial"/>
                <w:lang w:val="es-ES"/>
              </w:rPr>
              <w:t>Actividades</w:t>
            </w:r>
          </w:p>
        </w:tc>
        <w:tc>
          <w:tcPr>
            <w:tcW w:w="3544" w:type="dxa"/>
          </w:tcPr>
          <w:p w14:paraId="2C5C29F3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Enero a septiembre</w:t>
            </w:r>
          </w:p>
        </w:tc>
      </w:tr>
      <w:tr w:rsidR="00E67C3F" w:rsidRPr="0020360A" w14:paraId="3A2FCDCD" w14:textId="77777777" w:rsidTr="003B1866">
        <w:trPr>
          <w:trHeight w:val="359"/>
        </w:trPr>
        <w:tc>
          <w:tcPr>
            <w:tcW w:w="2547" w:type="dxa"/>
          </w:tcPr>
          <w:p w14:paraId="40F55DFA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Promover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capacitación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quienes integran el CEPCI y de la comunidad en temas relacionados con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género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y derecho a la no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discriminación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023188A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Que las personas integrantes del CEPCI y de la comunidad se capaciten a partir de cursos individuales o eventos masivos. </w:t>
            </w:r>
          </w:p>
          <w:p w14:paraId="7D711C01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774C4334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43BB1102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Establecer contacto con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Secretaría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Función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Inmujeres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y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Conapred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para recibir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capacitación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presencial en nuestros sitios de trabajo. </w:t>
            </w:r>
          </w:p>
          <w:p w14:paraId="7A8861F3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Ofrecer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información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sobre cursos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capacitación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(presenciales y en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línea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) para las personas integrantes del CEPCI y comunidad en general. </w:t>
            </w:r>
          </w:p>
          <w:p w14:paraId="5D229A84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138EA1E2" w14:textId="77777777" w:rsidR="00E67C3F" w:rsidRDefault="00E67C3F" w:rsidP="003B1866">
            <w:pPr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>
              <w:rPr>
                <w:rFonts w:ascii="Arial" w:hAnsi="Arial" w:cs="Arial"/>
                <w:lang w:val="es-ES"/>
              </w:rPr>
              <w:t xml:space="preserve">Hemos establecido contacto con la Secretaría de la Función Pública e invitado al </w:t>
            </w:r>
            <w:r w:rsidRPr="00CE70BD">
              <w:rPr>
                <w:rFonts w:ascii="Arial" w:eastAsia="Times New Roman" w:hAnsi="Arial" w:cs="Arial"/>
                <w:color w:val="000000"/>
                <w:lang w:eastAsia="es-ES_tradnl"/>
              </w:rPr>
              <w:t>Lic. Miguel Ángel Alejo</w:t>
            </w:r>
            <w:r>
              <w:rPr>
                <w:rFonts w:ascii="Arial" w:eastAsia="Times New Roman" w:hAnsi="Arial" w:cs="Arial"/>
                <w:color w:val="000000"/>
                <w:lang w:eastAsia="es-ES_tradnl"/>
              </w:rPr>
              <w:t xml:space="preserve"> </w:t>
            </w:r>
            <w:r w:rsidRPr="00CE70BD">
              <w:rPr>
                <w:rFonts w:ascii="Arial" w:eastAsia="Times New Roman" w:hAnsi="Arial" w:cs="Arial"/>
                <w:color w:val="000000"/>
                <w:lang w:eastAsia="es-ES_tradnl"/>
              </w:rPr>
              <w:t>Olivares</w:t>
            </w:r>
            <w:r>
              <w:rPr>
                <w:rFonts w:ascii="Arial" w:eastAsia="Times New Roman" w:hAnsi="Arial" w:cs="Arial"/>
                <w:color w:val="000000"/>
                <w:lang w:eastAsia="es-ES_tradnl"/>
              </w:rPr>
              <w:t xml:space="preserve"> a impartir una conferencia sobre ética el 15 de noviembre.</w:t>
            </w:r>
          </w:p>
          <w:p w14:paraId="61E50C1A" w14:textId="77777777" w:rsidR="00E67C3F" w:rsidRDefault="00E67C3F" w:rsidP="003B1866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Asimismo, hablado con INMUJERES y acordamos que los integrantes del CEPCI tomemos alguno de los cursos que ofrecen en línea y planear una capacitación presencial a principios de 2020.</w:t>
            </w:r>
          </w:p>
          <w:p w14:paraId="2B0E39B5" w14:textId="77777777" w:rsidR="00E67C3F" w:rsidRPr="008F504B" w:rsidRDefault="00E67C3F" w:rsidP="003B1866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Las personas que integramos el CEPCI hemos hecho un catalógo de cursos que ofrecen INMUJERES, CNDH, CONPARED y otras instancias el cual hemos compartido con la comunidad mediante correo electrónico invitando a la capacitación.</w:t>
            </w:r>
          </w:p>
          <w:p w14:paraId="5BC89CAF" w14:textId="77777777" w:rsidR="00E67C3F" w:rsidRPr="0020360A" w:rsidRDefault="00E67C3F" w:rsidP="003B1866">
            <w:pPr>
              <w:adjustRightInd w:val="0"/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E67C3F" w:rsidRPr="0020360A" w14:paraId="3FD336CC" w14:textId="77777777" w:rsidTr="003B1866">
        <w:trPr>
          <w:trHeight w:val="371"/>
        </w:trPr>
        <w:tc>
          <w:tcPr>
            <w:tcW w:w="2547" w:type="dxa"/>
          </w:tcPr>
          <w:p w14:paraId="56F6FE59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Revisar y actualizar los documentos base del CEPCI </w:t>
            </w:r>
          </w:p>
          <w:p w14:paraId="5C88841B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7C40EF99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Atención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Denuncias con base en la normatividad establecida por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Secretaría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Función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. </w:t>
            </w:r>
          </w:p>
          <w:p w14:paraId="6234C115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1CE03040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Actualizar las Bases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Integración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Organización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y Funcionamiento del CEPCI de ECOSUR </w:t>
            </w:r>
          </w:p>
          <w:p w14:paraId="5FA7D71F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Actualizar el Protocolo para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Atención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Denuncias </w:t>
            </w:r>
          </w:p>
          <w:p w14:paraId="44F4B23A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Actualizar 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Código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Conducta de ECOSUR con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participación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la comunidad. </w:t>
            </w:r>
          </w:p>
          <w:p w14:paraId="7A663F79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F9DEE15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Los tres documentos se actualizaron durante este año y fueron aprobados por el CEPCI. Las BIOF y el Protocolo para la Atención de Denuncias se actualizaron en la Tercera Sesión Ordinaria, celebrada el 27 de junio.</w:t>
            </w:r>
          </w:p>
          <w:p w14:paraId="28C36F7A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Código de Conducta se actualizó haciendo una consulta a la comunidad sobre los valores que consideran que deben estar en este documento. La consulta se realizó del 18 de julio al 6 de agosto. </w:t>
            </w:r>
          </w:p>
          <w:p w14:paraId="6C98589C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Dicho Código fue modificado a partir de la consulta y aprobado por el CEPCI en su Tercera </w:t>
            </w:r>
            <w:r>
              <w:rPr>
                <w:rFonts w:ascii="Arial" w:hAnsi="Arial" w:cs="Arial"/>
                <w:lang w:val="es-ES"/>
              </w:rPr>
              <w:lastRenderedPageBreak/>
              <w:t>Sesión Extraordinaria, celebrada el 23 de agosto.</w:t>
            </w:r>
          </w:p>
          <w:p w14:paraId="2B8C48D7" w14:textId="77777777" w:rsidR="00E67C3F" w:rsidRPr="00F13FD0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</w:tr>
      <w:tr w:rsidR="00E67C3F" w:rsidRPr="0020360A" w14:paraId="03EECAEB" w14:textId="77777777" w:rsidTr="003B1866">
        <w:trPr>
          <w:trHeight w:val="359"/>
        </w:trPr>
        <w:tc>
          <w:tcPr>
            <w:tcW w:w="2547" w:type="dxa"/>
          </w:tcPr>
          <w:p w14:paraId="24EA1005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lastRenderedPageBreak/>
              <w:t xml:space="preserve">Mejorar los indicadores de eficiencia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atención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denuncias </w:t>
            </w:r>
          </w:p>
          <w:p w14:paraId="42755679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A8344D0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Que las denuncias se resuelvan dentro del plazo establecido </w:t>
            </w:r>
          </w:p>
          <w:p w14:paraId="08F3A5C6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062B57FA" w14:textId="77777777" w:rsidR="00E67C3F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Priorizar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atención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denuncias sobre otras actividades laborales </w:t>
            </w:r>
          </w:p>
          <w:p w14:paraId="47DACA64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Revisar los expedientes de denuncias presentadas de 2016 a 2018, para identificar frecuencias de valores infringidos, actores, y resoluciones, para mejorar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actuación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Comite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́. </w:t>
            </w:r>
          </w:p>
        </w:tc>
        <w:tc>
          <w:tcPr>
            <w:tcW w:w="3544" w:type="dxa"/>
          </w:tcPr>
          <w:p w14:paraId="2F933D7D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Hasta el mes de septiembre el CEPCI recibió 8 denuncias, durante el trimestre de julio a septiembre se concluyó el análisis de tres denuncias en las que superamos el plazo de atención de tres meses y se emitieron las resoluciones correspondientes.</w:t>
            </w:r>
          </w:p>
          <w:p w14:paraId="3EAAB21C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Para las denuncias que se presentaron en este trimestre (007 y 008) se conformaron los subcomités correspondientes.</w:t>
            </w:r>
          </w:p>
          <w:p w14:paraId="357FC3E0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</w:p>
          <w:p w14:paraId="018A2AD7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Tenemos pendiente el análisis de las denuncias presentadas de 2016 a 2018.</w:t>
            </w:r>
          </w:p>
          <w:p w14:paraId="2C9A3201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</w:p>
          <w:p w14:paraId="327D172C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</w:tr>
      <w:tr w:rsidR="00E67C3F" w:rsidRPr="0020360A" w14:paraId="5D58DABB" w14:textId="77777777" w:rsidTr="003B1866">
        <w:trPr>
          <w:trHeight w:val="359"/>
        </w:trPr>
        <w:tc>
          <w:tcPr>
            <w:tcW w:w="2547" w:type="dxa"/>
          </w:tcPr>
          <w:p w14:paraId="7AEB3F9E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Dar a conocer el CEPCI entre la comunidad </w:t>
            </w:r>
          </w:p>
          <w:p w14:paraId="2DF49955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AB1697" w14:textId="77777777" w:rsidR="00E67C3F" w:rsidRPr="0020360A" w:rsidRDefault="00E67C3F" w:rsidP="003B1866">
            <w:pPr>
              <w:pStyle w:val="NormalWeb"/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Que la comunidad identifique al CEPCI como una instancia colectiva que busca mejorar el ambiente laboral y promover el comportamiento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las personas servidoras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14:paraId="0D8E67FD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Realizar carteles de las siguientes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temáticas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: qué es el CEPCI,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cuáles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son sus funciones y atribuciones,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cómo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presentar una denuncia. </w:t>
            </w:r>
          </w:p>
          <w:p w14:paraId="2B38132D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Ofrecer una charla de 15 min a estudiantes de posgrado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recién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ingreso sobre qué es el CEPCI y como presentar una denuncia. </w:t>
            </w:r>
          </w:p>
          <w:p w14:paraId="21447D04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Actualizar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página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web del CEPCI con un nuevo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diseno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y con materiales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divulgación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sobre los temas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interés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del CEPCI. </w:t>
            </w:r>
          </w:p>
        </w:tc>
        <w:tc>
          <w:tcPr>
            <w:tcW w:w="3544" w:type="dxa"/>
          </w:tcPr>
          <w:p w14:paraId="5B7CC9DC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Las actividades planeadas fueron realizadas durante el primer semestre del año, excepto la actualización de la página web del CEPCI la cual no se ha realizado debido a que hay otras prioridades institucionales y el personal especializado no ha podido apoyarnos.</w:t>
            </w:r>
          </w:p>
        </w:tc>
      </w:tr>
      <w:tr w:rsidR="00E67C3F" w:rsidRPr="0020360A" w14:paraId="586E3A1B" w14:textId="77777777" w:rsidTr="003B1866">
        <w:trPr>
          <w:trHeight w:val="359"/>
        </w:trPr>
        <w:tc>
          <w:tcPr>
            <w:tcW w:w="2547" w:type="dxa"/>
          </w:tcPr>
          <w:p w14:paraId="34CC21A9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lastRenderedPageBreak/>
              <w:t xml:space="preserve">Sensibilizar a la comunidad en temas relacionados con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la equidad y la no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discriminación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</w:t>
            </w:r>
          </w:p>
          <w:p w14:paraId="16340F30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376027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Que la comunidad cuente con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información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para evitar conductas contrarias a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actos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discriminación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y de violencia,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asi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́ como conductas de acoso y hostigamiento sexual.</w:t>
            </w:r>
          </w:p>
        </w:tc>
        <w:tc>
          <w:tcPr>
            <w:tcW w:w="2268" w:type="dxa"/>
          </w:tcPr>
          <w:p w14:paraId="7570AF73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Realizar conversatorios,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cinedebates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campañas o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infografías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en fechas establecidas para promover derechos humanos,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la no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discriminación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.</w:t>
            </w:r>
          </w:p>
          <w:p w14:paraId="7F07D592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99398C" w14:textId="77777777" w:rsidR="00E67C3F" w:rsidRDefault="00E67C3F" w:rsidP="003B1866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Durante el primer semestre del año se realizaron campañas en el marco del día internacional de la mujer (8 marzo) y el día internacional contra la homofobia (17 mayo).</w:t>
            </w:r>
          </w:p>
          <w:p w14:paraId="1341A546" w14:textId="77777777" w:rsidR="00E67C3F" w:rsidRPr="00F13FD0" w:rsidRDefault="00E67C3F" w:rsidP="003B1866">
            <w:pPr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t>En este tercer semestre, e</w:t>
            </w:r>
            <w:r w:rsidRPr="000D4A59">
              <w:rPr>
                <w:rFonts w:ascii="Arial" w:eastAsia="Times New Roman" w:hAnsi="Arial" w:cs="Arial"/>
                <w:lang w:eastAsia="es-ES_tradnl"/>
              </w:rPr>
              <w:t>l</w:t>
            </w:r>
            <w:r>
              <w:rPr>
                <w:rFonts w:ascii="Arial" w:eastAsia="Times New Roman" w:hAnsi="Arial" w:cs="Arial"/>
                <w:lang w:eastAsia="es-ES_tradnl"/>
              </w:rPr>
              <w:t xml:space="preserve"> 9 de agosto </w:t>
            </w:r>
            <w:r w:rsidRPr="000D4A59">
              <w:rPr>
                <w:rFonts w:ascii="Arial" w:eastAsia="Times New Roman" w:hAnsi="Arial" w:cs="Arial"/>
                <w:lang w:eastAsia="es-ES_tradnl"/>
              </w:rPr>
              <w:t xml:space="preserve">se compartió </w:t>
            </w:r>
            <w:r>
              <w:rPr>
                <w:rFonts w:ascii="Arial" w:eastAsia="Times New Roman" w:hAnsi="Arial" w:cs="Arial"/>
                <w:lang w:eastAsia="es-ES_tradnl"/>
              </w:rPr>
              <w:t>con la comunidad una campaña de sensibilización sobre el día internacional de los pueblos indígenas. La campaña consistió en una infografía y ligas a videos y sitios web en los que hay información sobre el tema.</w:t>
            </w:r>
          </w:p>
        </w:tc>
      </w:tr>
      <w:tr w:rsidR="00E67C3F" w:rsidRPr="0020360A" w14:paraId="488E3EED" w14:textId="77777777" w:rsidTr="003B1866">
        <w:trPr>
          <w:trHeight w:val="359"/>
        </w:trPr>
        <w:tc>
          <w:tcPr>
            <w:tcW w:w="2547" w:type="dxa"/>
          </w:tcPr>
          <w:p w14:paraId="17B8092F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Promover 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Código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Conducta de ECOSUR, 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Código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las personas servidoras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y las Reglas de Integridad para el ejercicio de la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función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. </w:t>
            </w:r>
          </w:p>
          <w:p w14:paraId="0A450EB8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5256A1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Que la comunidad conozca los valores que rigen 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Código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Conducta de ECOSUR y el de las personas servidoras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,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asi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́ como las reglas de integridad para que los incorporen en su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actuación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como personas servidoras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14:paraId="6FD21149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Diseño y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difusión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materiales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gráficos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sobre las Reglas de Integridad. </w:t>
            </w:r>
          </w:p>
          <w:p w14:paraId="68EE2390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Realizar una charla sobre 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Código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Conducta de ECOSUR </w:t>
            </w:r>
          </w:p>
          <w:p w14:paraId="12D749DF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Difusión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del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Código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Ética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de las Personas Servidoras </w:t>
            </w:r>
            <w:proofErr w:type="spellStart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>Públicas</w:t>
            </w:r>
            <w:proofErr w:type="spellEnd"/>
            <w:r w:rsidRPr="0020360A">
              <w:rPr>
                <w:rFonts w:ascii="Arial" w:hAnsi="Arial" w:cs="Arial"/>
                <w:color w:val="4C4C4C"/>
                <w:sz w:val="22"/>
                <w:szCs w:val="22"/>
              </w:rPr>
              <w:t xml:space="preserve"> </w:t>
            </w:r>
          </w:p>
          <w:p w14:paraId="68399B78" w14:textId="77777777" w:rsidR="00E67C3F" w:rsidRPr="0020360A" w:rsidRDefault="00E67C3F" w:rsidP="003B1866">
            <w:pPr>
              <w:pStyle w:val="NormalWeb"/>
              <w:shd w:val="clear" w:color="auto" w:fill="FFFFFF"/>
              <w:rPr>
                <w:rFonts w:ascii="Arial" w:hAnsi="Arial" w:cs="Arial"/>
                <w:color w:val="4C4C4C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50E31EC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</w:t>
            </w:r>
            <w:proofErr w:type="gramStart"/>
            <w:r>
              <w:rPr>
                <w:rFonts w:ascii="Arial" w:hAnsi="Arial" w:cs="Arial"/>
                <w:lang w:val="es-ES"/>
              </w:rPr>
              <w:t>primer actividad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se realizó durante el primer semestre del año, se compartieron las reglas de integridad por correo, además se imprimieron para las mamparas y se colocaron en la página web del CEPCI.</w:t>
            </w:r>
          </w:p>
          <w:p w14:paraId="0C9DF0B9" w14:textId="77777777" w:rsidR="00E67C3F" w:rsidRPr="00BB62DE" w:rsidRDefault="00E67C3F" w:rsidP="003B186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Durante este trimestre, a</w:t>
            </w:r>
            <w:r w:rsidRPr="00BB62DE">
              <w:rPr>
                <w:rFonts w:ascii="Arial" w:hAnsi="Arial" w:cs="Arial"/>
                <w:lang w:val="fr-FR"/>
              </w:rPr>
              <w:t xml:space="preserve"> solicitud de la </w:t>
            </w:r>
            <w:r w:rsidRPr="00BB62DE">
              <w:rPr>
                <w:rFonts w:ascii="Arial" w:eastAsia="Times New Roman" w:hAnsi="Arial" w:cs="Arial"/>
                <w:color w:val="000000"/>
                <w:lang w:eastAsia="es-ES_tradnl"/>
              </w:rPr>
              <w:t>UEIPPCI</w:t>
            </w:r>
            <w:r w:rsidRPr="00BB62DE" w:rsidDel="005317C5">
              <w:rPr>
                <w:rFonts w:ascii="Arial" w:hAnsi="Arial" w:cs="Arial"/>
                <w:lang w:val="fr-FR"/>
              </w:rPr>
              <w:t xml:space="preserve"> </w:t>
            </w:r>
            <w:r w:rsidRPr="00BB62DE">
              <w:rPr>
                <w:rFonts w:ascii="Arial" w:hAnsi="Arial" w:cs="Arial"/>
                <w:lang w:val="fr-FR"/>
              </w:rPr>
              <w:t>se difundió el cartel del Código de Ética de las Personas Servidoras Públicas y otros materiales sobre el Código de Conducta.</w:t>
            </w:r>
          </w:p>
          <w:p w14:paraId="22288F59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11 de septiembre la directora General de ECOSUR anunció que ya teníamos un nuevo Código de Conducta en ECOSUR.</w:t>
            </w:r>
          </w:p>
          <w:p w14:paraId="09100E45" w14:textId="77777777" w:rsidR="00E67C3F" w:rsidRDefault="00E67C3F" w:rsidP="003B186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Durante el último trimestre del año se realizará la charla sobre el Código de Conducta de ECOSUR.</w:t>
            </w:r>
          </w:p>
          <w:p w14:paraId="480024BD" w14:textId="77777777" w:rsidR="00E67C3F" w:rsidRPr="0020360A" w:rsidRDefault="00E67C3F" w:rsidP="003B186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AC7D510" w14:textId="5F45C4FD" w:rsidR="00A25521" w:rsidRDefault="00A25521" w:rsidP="00822238">
      <w:pPr>
        <w:spacing w:after="0"/>
        <w:jc w:val="both"/>
        <w:rPr>
          <w:rFonts w:ascii="Arial" w:hAnsi="Arial" w:cs="Arial"/>
          <w:b/>
        </w:rPr>
      </w:pPr>
    </w:p>
    <w:p w14:paraId="12A3199F" w14:textId="0E49CFA5" w:rsidR="00A25521" w:rsidRDefault="00A25521" w:rsidP="00822238">
      <w:pPr>
        <w:spacing w:after="0"/>
        <w:jc w:val="both"/>
        <w:rPr>
          <w:rFonts w:ascii="Arial" w:hAnsi="Arial" w:cs="Arial"/>
          <w:b/>
        </w:rPr>
      </w:pPr>
    </w:p>
    <w:p w14:paraId="40AFAD28" w14:textId="2E92A48F" w:rsidR="00E67C3F" w:rsidRDefault="00E67C3F" w:rsidP="00822238">
      <w:pPr>
        <w:spacing w:after="0"/>
        <w:jc w:val="both"/>
        <w:rPr>
          <w:rFonts w:ascii="Arial" w:hAnsi="Arial" w:cs="Arial"/>
          <w:b/>
        </w:rPr>
      </w:pPr>
    </w:p>
    <w:p w14:paraId="4ABFD14C" w14:textId="77777777" w:rsidR="00E67C3F" w:rsidRDefault="00E67C3F" w:rsidP="00822238">
      <w:pPr>
        <w:spacing w:after="0"/>
        <w:jc w:val="both"/>
        <w:rPr>
          <w:rFonts w:ascii="Arial" w:hAnsi="Arial" w:cs="Arial"/>
          <w:b/>
        </w:rPr>
      </w:pPr>
    </w:p>
    <w:p w14:paraId="1544C935" w14:textId="0AE7AE01" w:rsidR="00A25521" w:rsidRDefault="00A25521" w:rsidP="00822238">
      <w:pPr>
        <w:spacing w:after="0"/>
        <w:jc w:val="both"/>
        <w:rPr>
          <w:rFonts w:ascii="Arial" w:hAnsi="Arial" w:cs="Arial"/>
          <w:b/>
        </w:rPr>
      </w:pPr>
    </w:p>
    <w:p w14:paraId="750B153B" w14:textId="453A7377" w:rsidR="00A25521" w:rsidRDefault="00A25521" w:rsidP="00822238">
      <w:pPr>
        <w:spacing w:after="0"/>
        <w:jc w:val="both"/>
        <w:rPr>
          <w:rFonts w:ascii="Arial" w:hAnsi="Arial" w:cs="Arial"/>
          <w:b/>
        </w:rPr>
      </w:pPr>
    </w:p>
    <w:p w14:paraId="6E6C7FF5" w14:textId="5375D124" w:rsidR="00A25521" w:rsidRDefault="00A25521" w:rsidP="00822238">
      <w:pPr>
        <w:spacing w:after="0"/>
        <w:jc w:val="both"/>
        <w:rPr>
          <w:rFonts w:ascii="Arial" w:hAnsi="Arial" w:cs="Arial"/>
          <w:b/>
        </w:rPr>
      </w:pPr>
    </w:p>
    <w:p w14:paraId="69E524B9" w14:textId="4795E9D8" w:rsidR="00A25521" w:rsidRDefault="00A25521" w:rsidP="00822238">
      <w:pPr>
        <w:spacing w:after="0"/>
        <w:jc w:val="both"/>
        <w:rPr>
          <w:rFonts w:ascii="Arial" w:hAnsi="Arial" w:cs="Arial"/>
          <w:b/>
        </w:rPr>
      </w:pPr>
    </w:p>
    <w:p w14:paraId="5D38CC73" w14:textId="67082E78" w:rsidR="00E67C3F" w:rsidRDefault="00E67C3F" w:rsidP="00822238">
      <w:pPr>
        <w:spacing w:after="0"/>
        <w:jc w:val="both"/>
        <w:rPr>
          <w:rFonts w:ascii="Arial" w:hAnsi="Arial" w:cs="Arial"/>
          <w:b/>
        </w:rPr>
      </w:pPr>
    </w:p>
    <w:p w14:paraId="3FEB9181" w14:textId="48E47DF9" w:rsidR="00E67C3F" w:rsidRDefault="00E67C3F" w:rsidP="00822238">
      <w:pPr>
        <w:spacing w:after="0"/>
        <w:jc w:val="both"/>
        <w:rPr>
          <w:rFonts w:ascii="Arial" w:hAnsi="Arial" w:cs="Arial"/>
          <w:b/>
        </w:rPr>
      </w:pPr>
    </w:p>
    <w:p w14:paraId="00C1A356" w14:textId="56EE362A" w:rsidR="003B03A7" w:rsidRDefault="003B03A7" w:rsidP="00822238">
      <w:pPr>
        <w:spacing w:after="0"/>
        <w:jc w:val="both"/>
        <w:rPr>
          <w:rFonts w:ascii="Arial" w:hAnsi="Arial" w:cs="Arial"/>
          <w:b/>
        </w:rPr>
      </w:pPr>
    </w:p>
    <w:p w14:paraId="0BA0BFA7" w14:textId="77777777" w:rsidR="003B03A7" w:rsidRDefault="003B03A7" w:rsidP="00822238">
      <w:pPr>
        <w:spacing w:after="0"/>
        <w:jc w:val="both"/>
        <w:rPr>
          <w:rFonts w:ascii="Arial" w:hAnsi="Arial" w:cs="Arial"/>
          <w:b/>
        </w:rPr>
      </w:pPr>
    </w:p>
    <w:p w14:paraId="1E2E8C50" w14:textId="77777777" w:rsidR="006B63DB" w:rsidRDefault="00822238" w:rsidP="006B63DB">
      <w:pPr>
        <w:spacing w:after="0"/>
        <w:jc w:val="both"/>
        <w:rPr>
          <w:rFonts w:ascii="Arial" w:hAnsi="Arial" w:cs="Arial"/>
          <w:b/>
        </w:rPr>
      </w:pPr>
      <w:r w:rsidRPr="000D4A59">
        <w:rPr>
          <w:rFonts w:ascii="Arial" w:hAnsi="Arial" w:cs="Arial"/>
          <w:b/>
        </w:rPr>
        <w:t>Celebración de sesiones</w:t>
      </w:r>
    </w:p>
    <w:p w14:paraId="3AB775D4" w14:textId="34B85200" w:rsidR="00822238" w:rsidRPr="006B63DB" w:rsidRDefault="00822238" w:rsidP="006B63DB">
      <w:pPr>
        <w:spacing w:after="0"/>
        <w:jc w:val="both"/>
        <w:rPr>
          <w:rFonts w:ascii="Arial" w:hAnsi="Arial" w:cs="Arial"/>
          <w:b/>
        </w:rPr>
      </w:pPr>
      <w:r w:rsidRPr="000D4A59">
        <w:rPr>
          <w:rFonts w:ascii="Arial" w:hAnsi="Arial" w:cs="Arial"/>
          <w:bCs/>
        </w:rPr>
        <w:t xml:space="preserve">El </w:t>
      </w:r>
      <w:r w:rsidR="00DB0285">
        <w:rPr>
          <w:rFonts w:ascii="Arial" w:hAnsi="Arial" w:cs="Arial"/>
          <w:bCs/>
        </w:rPr>
        <w:t>23 de agosto</w:t>
      </w:r>
      <w:r w:rsidRPr="000D4A59">
        <w:rPr>
          <w:rFonts w:ascii="Arial" w:hAnsi="Arial" w:cs="Arial"/>
          <w:bCs/>
        </w:rPr>
        <w:t xml:space="preserve"> se celebró la </w:t>
      </w:r>
      <w:r w:rsidR="00DB0285">
        <w:rPr>
          <w:rFonts w:ascii="Arial" w:hAnsi="Arial" w:cs="Arial"/>
          <w:bCs/>
        </w:rPr>
        <w:t>Tercer</w:t>
      </w:r>
      <w:r w:rsidRPr="000D4A59">
        <w:rPr>
          <w:rFonts w:ascii="Arial" w:hAnsi="Arial" w:cs="Arial"/>
          <w:bCs/>
        </w:rPr>
        <w:t xml:space="preserve">a </w:t>
      </w:r>
      <w:r w:rsidR="00DB0285">
        <w:rPr>
          <w:rFonts w:ascii="Arial" w:hAnsi="Arial" w:cs="Arial"/>
          <w:bCs/>
        </w:rPr>
        <w:t>S</w:t>
      </w:r>
      <w:r w:rsidRPr="000D4A59">
        <w:rPr>
          <w:rFonts w:ascii="Arial" w:hAnsi="Arial" w:cs="Arial"/>
          <w:bCs/>
        </w:rPr>
        <w:t xml:space="preserve">esión </w:t>
      </w:r>
      <w:r w:rsidR="00DB0285">
        <w:rPr>
          <w:rFonts w:ascii="Arial" w:hAnsi="Arial" w:cs="Arial"/>
          <w:bCs/>
        </w:rPr>
        <w:t>E</w:t>
      </w:r>
      <w:r w:rsidRPr="000D4A59">
        <w:rPr>
          <w:rFonts w:ascii="Arial" w:hAnsi="Arial" w:cs="Arial"/>
          <w:bCs/>
        </w:rPr>
        <w:t>xtraordinaria en la que se trataron los siguientes temas:</w:t>
      </w:r>
    </w:p>
    <w:p w14:paraId="2B301750" w14:textId="584CD4A7" w:rsidR="00822238" w:rsidRPr="000D4A59" w:rsidRDefault="00DB0285" w:rsidP="00822238">
      <w:pPr>
        <w:pStyle w:val="NormalWeb"/>
        <w:numPr>
          <w:ilvl w:val="0"/>
          <w:numId w:val="39"/>
        </w:numPr>
        <w:rPr>
          <w:rFonts w:ascii="Arial" w:eastAsia="Times New Roman" w:hAnsi="Arial" w:cs="Arial"/>
          <w:sz w:val="22"/>
          <w:szCs w:val="22"/>
          <w:lang w:val="es-MX" w:eastAsia="es-ES_tradnl"/>
        </w:rPr>
      </w:pPr>
      <w:r>
        <w:rPr>
          <w:rFonts w:ascii="Arial" w:eastAsia="Times New Roman" w:hAnsi="Arial" w:cs="Arial"/>
          <w:sz w:val="22"/>
          <w:szCs w:val="22"/>
          <w:lang w:val="es-MX" w:eastAsia="es-ES_tradnl"/>
        </w:rPr>
        <w:t>Aprobación del Código de Conducta</w:t>
      </w:r>
      <w:r w:rsidR="00822238" w:rsidRPr="000D4A59">
        <w:rPr>
          <w:rFonts w:ascii="Arial" w:eastAsia="Times New Roman" w:hAnsi="Arial" w:cs="Arial"/>
          <w:sz w:val="22"/>
          <w:szCs w:val="22"/>
          <w:lang w:val="es-MX" w:eastAsia="es-ES_tradnl"/>
        </w:rPr>
        <w:t xml:space="preserve">. </w:t>
      </w:r>
    </w:p>
    <w:p w14:paraId="091AC2F4" w14:textId="1127D9BB" w:rsidR="007804D1" w:rsidRPr="008E6959" w:rsidRDefault="00DB0285" w:rsidP="00DB0285">
      <w:pPr>
        <w:pStyle w:val="NormalWeb"/>
        <w:numPr>
          <w:ilvl w:val="0"/>
          <w:numId w:val="39"/>
        </w:numPr>
        <w:rPr>
          <w:rFonts w:ascii="Arial" w:eastAsia="Times New Roman" w:hAnsi="Arial" w:cs="Arial"/>
          <w:sz w:val="22"/>
          <w:szCs w:val="22"/>
          <w:lang w:val="es-MX" w:eastAsia="es-ES_tradnl"/>
        </w:rPr>
      </w:pPr>
      <w:r>
        <w:rPr>
          <w:rFonts w:ascii="Arial" w:eastAsia="Times New Roman" w:hAnsi="Arial" w:cs="Arial"/>
          <w:sz w:val="22"/>
          <w:szCs w:val="22"/>
          <w:lang w:val="es-MX" w:eastAsia="es-ES_tradnl"/>
        </w:rPr>
        <w:t>Asuntos generales. Se formó una subcomisión para trabajar la actualización del PAT.</w:t>
      </w:r>
    </w:p>
    <w:p w14:paraId="09588608" w14:textId="68E6228C" w:rsidR="00DB0285" w:rsidRDefault="00DB0285" w:rsidP="00DB0285">
      <w:pPr>
        <w:pStyle w:val="NormalWeb"/>
        <w:rPr>
          <w:rFonts w:ascii="Arial" w:hAnsi="Arial" w:cs="Arial"/>
          <w:bCs/>
          <w:sz w:val="22"/>
          <w:szCs w:val="22"/>
        </w:rPr>
      </w:pPr>
      <w:r w:rsidRPr="000D4A59">
        <w:rPr>
          <w:rFonts w:ascii="Arial" w:hAnsi="Arial" w:cs="Arial"/>
          <w:bCs/>
          <w:sz w:val="22"/>
          <w:szCs w:val="22"/>
        </w:rPr>
        <w:t xml:space="preserve">El </w:t>
      </w:r>
      <w:r>
        <w:rPr>
          <w:rFonts w:ascii="Arial" w:hAnsi="Arial" w:cs="Arial"/>
          <w:bCs/>
          <w:sz w:val="22"/>
          <w:szCs w:val="22"/>
        </w:rPr>
        <w:t>11 de septiembre</w:t>
      </w:r>
      <w:r w:rsidRPr="000D4A59">
        <w:rPr>
          <w:rFonts w:ascii="Arial" w:hAnsi="Arial" w:cs="Arial"/>
          <w:bCs/>
          <w:sz w:val="22"/>
          <w:szCs w:val="22"/>
        </w:rPr>
        <w:t xml:space="preserve"> se celebró la </w:t>
      </w:r>
      <w:r>
        <w:rPr>
          <w:rFonts w:ascii="Arial" w:hAnsi="Arial" w:cs="Arial"/>
          <w:bCs/>
          <w:sz w:val="22"/>
          <w:szCs w:val="22"/>
        </w:rPr>
        <w:t>Cuarta Sesión Extraordinaria</w:t>
      </w:r>
      <w:r w:rsidRPr="000D4A59">
        <w:rPr>
          <w:rFonts w:ascii="Arial" w:hAnsi="Arial" w:cs="Arial"/>
          <w:bCs/>
          <w:sz w:val="22"/>
          <w:szCs w:val="22"/>
        </w:rPr>
        <w:t xml:space="preserve"> en la que se trataron los siguientes temas:</w:t>
      </w:r>
    </w:p>
    <w:p w14:paraId="53B9E233" w14:textId="47B6CFD4" w:rsidR="00DB0285" w:rsidRDefault="00DB0285" w:rsidP="00DB0285">
      <w:pPr>
        <w:pStyle w:val="NormalWeb"/>
        <w:numPr>
          <w:ilvl w:val="0"/>
          <w:numId w:val="39"/>
        </w:numPr>
        <w:rPr>
          <w:rFonts w:ascii="Arial" w:eastAsia="Times New Roman" w:hAnsi="Arial" w:cs="Arial"/>
          <w:sz w:val="22"/>
          <w:szCs w:val="22"/>
          <w:lang w:val="es-MX" w:eastAsia="es-ES_tradnl"/>
        </w:rPr>
      </w:pPr>
      <w:r>
        <w:rPr>
          <w:rFonts w:ascii="Arial" w:eastAsia="Times New Roman" w:hAnsi="Arial" w:cs="Arial"/>
          <w:sz w:val="22"/>
          <w:szCs w:val="22"/>
          <w:lang w:val="es-MX" w:eastAsia="es-ES_tradnl"/>
        </w:rPr>
        <w:t>Calificación de la denuncia 007</w:t>
      </w:r>
    </w:p>
    <w:p w14:paraId="4B4FD633" w14:textId="36A5DB3E" w:rsidR="00DB0285" w:rsidRDefault="00DB0285" w:rsidP="00DB0285">
      <w:pPr>
        <w:pStyle w:val="NormalWeb"/>
        <w:numPr>
          <w:ilvl w:val="0"/>
          <w:numId w:val="39"/>
        </w:numPr>
        <w:rPr>
          <w:rFonts w:ascii="Arial" w:eastAsia="Times New Roman" w:hAnsi="Arial" w:cs="Arial"/>
          <w:sz w:val="22"/>
          <w:szCs w:val="22"/>
          <w:lang w:val="es-MX" w:eastAsia="es-ES_tradnl"/>
        </w:rPr>
      </w:pPr>
      <w:r>
        <w:rPr>
          <w:rFonts w:ascii="Arial" w:eastAsia="Times New Roman" w:hAnsi="Arial" w:cs="Arial"/>
          <w:sz w:val="22"/>
          <w:szCs w:val="22"/>
          <w:lang w:val="es-MX" w:eastAsia="es-ES_tradnl"/>
        </w:rPr>
        <w:t>Calificación de la denuncia 008</w:t>
      </w:r>
    </w:p>
    <w:p w14:paraId="3B54D139" w14:textId="587D25FB" w:rsidR="00822238" w:rsidRDefault="00DB0285" w:rsidP="006B63DB">
      <w:pPr>
        <w:pStyle w:val="NormalWeb"/>
        <w:numPr>
          <w:ilvl w:val="0"/>
          <w:numId w:val="39"/>
        </w:numPr>
        <w:rPr>
          <w:rFonts w:ascii="Arial" w:eastAsia="Times New Roman" w:hAnsi="Arial" w:cs="Arial"/>
          <w:sz w:val="22"/>
          <w:szCs w:val="22"/>
          <w:lang w:val="es-MX" w:eastAsia="es-ES_tradnl"/>
        </w:rPr>
      </w:pPr>
      <w:r>
        <w:rPr>
          <w:rFonts w:ascii="Arial" w:eastAsia="Times New Roman" w:hAnsi="Arial" w:cs="Arial"/>
          <w:sz w:val="22"/>
          <w:szCs w:val="22"/>
          <w:lang w:val="es-MX" w:eastAsia="es-ES_tradnl"/>
        </w:rPr>
        <w:t>Solicitud de asesoría del posgrado</w:t>
      </w:r>
    </w:p>
    <w:p w14:paraId="253E9DB1" w14:textId="07BD02EC" w:rsidR="003B03A7" w:rsidRDefault="003B03A7" w:rsidP="003B03A7">
      <w:pPr>
        <w:pStyle w:val="NormalWeb"/>
        <w:rPr>
          <w:rFonts w:ascii="Arial" w:eastAsia="Times New Roman" w:hAnsi="Arial" w:cs="Arial"/>
          <w:sz w:val="22"/>
          <w:szCs w:val="22"/>
          <w:lang w:val="es-MX" w:eastAsia="es-ES_tradnl"/>
        </w:rPr>
      </w:pPr>
    </w:p>
    <w:p w14:paraId="7925C3A4" w14:textId="77777777" w:rsidR="003B03A7" w:rsidRPr="006B63DB" w:rsidRDefault="003B03A7" w:rsidP="003B03A7">
      <w:pPr>
        <w:pStyle w:val="NormalWeb"/>
        <w:rPr>
          <w:rFonts w:ascii="Arial" w:eastAsia="Times New Roman" w:hAnsi="Arial" w:cs="Arial"/>
          <w:sz w:val="22"/>
          <w:szCs w:val="22"/>
          <w:lang w:val="es-MX"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22238" w:rsidRPr="000D4A59" w14:paraId="73628A11" w14:textId="77777777" w:rsidTr="006E67CC">
        <w:tc>
          <w:tcPr>
            <w:tcW w:w="4981" w:type="dxa"/>
          </w:tcPr>
          <w:p w14:paraId="3FEB3F90" w14:textId="77777777" w:rsidR="00822238" w:rsidRPr="000D4A59" w:rsidRDefault="00822238" w:rsidP="006E67CC">
            <w:pPr>
              <w:jc w:val="both"/>
              <w:rPr>
                <w:rFonts w:ascii="Arial" w:hAnsi="Arial" w:cs="Arial"/>
                <w:lang w:val="fr-FR"/>
              </w:rPr>
            </w:pPr>
            <w:r w:rsidRPr="000D4A59">
              <w:rPr>
                <w:rFonts w:ascii="Arial" w:hAnsi="Arial" w:cs="Arial"/>
                <w:lang w:val="fr-FR"/>
              </w:rPr>
              <w:t>Elaboró : María Magdalena Jiménez Ramírez</w:t>
            </w:r>
          </w:p>
          <w:p w14:paraId="3EF25892" w14:textId="77777777" w:rsidR="00822238" w:rsidRPr="000D4A59" w:rsidRDefault="00822238" w:rsidP="006E67CC">
            <w:pPr>
              <w:jc w:val="both"/>
              <w:rPr>
                <w:rFonts w:ascii="Arial" w:hAnsi="Arial" w:cs="Arial"/>
                <w:lang w:val="fr-FR"/>
              </w:rPr>
            </w:pPr>
            <w:r w:rsidRPr="000D4A59">
              <w:rPr>
                <w:rFonts w:ascii="Arial" w:hAnsi="Arial" w:cs="Arial"/>
                <w:lang w:val="fr-FR"/>
              </w:rPr>
              <w:t>Secretaria ejecutiva</w:t>
            </w:r>
          </w:p>
          <w:p w14:paraId="723CAA09" w14:textId="77777777" w:rsidR="00822238" w:rsidRPr="000D4A59" w:rsidRDefault="00822238" w:rsidP="006E67CC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1C5402AC" w14:textId="77777777" w:rsidR="00822238" w:rsidRPr="000D4A59" w:rsidRDefault="00822238" w:rsidP="006E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5DF74D6F" w14:textId="77777777" w:rsidR="00822238" w:rsidRPr="000D4A59" w:rsidRDefault="00822238" w:rsidP="006E67CC">
            <w:pPr>
              <w:jc w:val="both"/>
              <w:rPr>
                <w:rFonts w:ascii="Arial" w:hAnsi="Arial" w:cs="Arial"/>
              </w:rPr>
            </w:pPr>
            <w:r w:rsidRPr="000D4A59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265799DA" wp14:editId="09B5F46D">
                  <wp:simplePos x="0" y="0"/>
                  <wp:positionH relativeFrom="column">
                    <wp:posOffset>196663</wp:posOffset>
                  </wp:positionH>
                  <wp:positionV relativeFrom="paragraph">
                    <wp:posOffset>129860</wp:posOffset>
                  </wp:positionV>
                  <wp:extent cx="2580640" cy="632056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632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AD0209" w14:textId="77777777" w:rsidR="00822238" w:rsidRDefault="00822238" w:rsidP="00B14D0A">
      <w:pPr>
        <w:spacing w:after="0"/>
        <w:jc w:val="both"/>
        <w:rPr>
          <w:rFonts w:ascii="Candara" w:hAnsi="Candara"/>
        </w:rPr>
      </w:pPr>
    </w:p>
    <w:p w14:paraId="3EDE9058" w14:textId="7778F3EF" w:rsidR="000462DD" w:rsidRDefault="000462DD" w:rsidP="00B14D0A">
      <w:pPr>
        <w:spacing w:after="0"/>
        <w:jc w:val="both"/>
        <w:rPr>
          <w:rFonts w:ascii="Candara" w:hAnsi="Candara"/>
        </w:rPr>
      </w:pPr>
    </w:p>
    <w:p w14:paraId="59137FB0" w14:textId="798DF32B" w:rsidR="00E820FA" w:rsidRDefault="00E820FA" w:rsidP="0061743F">
      <w:pPr>
        <w:spacing w:after="0"/>
        <w:jc w:val="both"/>
        <w:rPr>
          <w:rFonts w:ascii="Candara" w:hAnsi="Candara"/>
        </w:rPr>
      </w:pPr>
    </w:p>
    <w:p w14:paraId="01773C68" w14:textId="540AAF4F" w:rsidR="0061743F" w:rsidRPr="00D16322" w:rsidRDefault="0061743F" w:rsidP="0061743F">
      <w:pPr>
        <w:spacing w:after="0"/>
        <w:jc w:val="both"/>
        <w:rPr>
          <w:rFonts w:ascii="Candara" w:hAnsi="Candara"/>
        </w:rPr>
      </w:pPr>
    </w:p>
    <w:p w14:paraId="17DC9B35" w14:textId="608F52EB" w:rsidR="00C47F6F" w:rsidRDefault="00C47F6F" w:rsidP="00B14D0A">
      <w:pPr>
        <w:spacing w:after="0"/>
        <w:jc w:val="both"/>
        <w:rPr>
          <w:rFonts w:ascii="Candara" w:hAnsi="Candara"/>
          <w:lang w:val="es-ES"/>
        </w:rPr>
      </w:pPr>
    </w:p>
    <w:sectPr w:rsidR="00C47F6F" w:rsidSect="00CA4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7141" w14:textId="77777777" w:rsidR="009E24CB" w:rsidRDefault="009E24CB" w:rsidP="008E075A">
      <w:pPr>
        <w:spacing w:after="0" w:line="240" w:lineRule="auto"/>
      </w:pPr>
      <w:r>
        <w:separator/>
      </w:r>
    </w:p>
  </w:endnote>
  <w:endnote w:type="continuationSeparator" w:id="0">
    <w:p w14:paraId="4FAC271C" w14:textId="77777777" w:rsidR="009E24CB" w:rsidRDefault="009E24CB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E0B8" w14:textId="77777777" w:rsidR="001548D5" w:rsidRDefault="001548D5" w:rsidP="00A57A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2C51D" w14:textId="77777777" w:rsidR="001548D5" w:rsidRDefault="001548D5" w:rsidP="00CA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180756"/>
      <w:docPartObj>
        <w:docPartGallery w:val="Page Numbers (Bottom of Page)"/>
        <w:docPartUnique/>
      </w:docPartObj>
    </w:sdtPr>
    <w:sdtEndPr/>
    <w:sdtContent>
      <w:p w14:paraId="240E9427" w14:textId="7B25C844" w:rsidR="003B25F1" w:rsidRDefault="003B25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0F" w:rsidRPr="00B7480F">
          <w:rPr>
            <w:noProof/>
            <w:lang w:val="es-ES"/>
          </w:rPr>
          <w:t>1</w:t>
        </w:r>
        <w:r>
          <w:fldChar w:fldCharType="end"/>
        </w:r>
      </w:p>
    </w:sdtContent>
  </w:sdt>
  <w:p w14:paraId="050B7657" w14:textId="77777777" w:rsidR="001548D5" w:rsidRDefault="001548D5" w:rsidP="00CA48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9785" w14:textId="77777777" w:rsidR="00B7480F" w:rsidRDefault="00B74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91B7" w14:textId="77777777" w:rsidR="009E24CB" w:rsidRDefault="009E24CB" w:rsidP="008E075A">
      <w:pPr>
        <w:spacing w:after="0" w:line="240" w:lineRule="auto"/>
      </w:pPr>
      <w:r>
        <w:separator/>
      </w:r>
    </w:p>
  </w:footnote>
  <w:footnote w:type="continuationSeparator" w:id="0">
    <w:p w14:paraId="525E4AAA" w14:textId="77777777" w:rsidR="009E24CB" w:rsidRDefault="009E24CB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CF5F" w14:textId="77777777" w:rsidR="00B7480F" w:rsidRDefault="00B74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637E" w14:textId="52774C1A" w:rsidR="001B22CE" w:rsidRDefault="00B7480F" w:rsidP="00B44B14">
    <w:pPr>
      <w:ind w:left="-567" w:firstLine="141"/>
    </w:pPr>
    <w:bookmarkStart w:id="0" w:name="_GoBack"/>
    <w:r w:rsidRPr="003B03A7">
      <w:drawing>
        <wp:anchor distT="0" distB="0" distL="114300" distR="114300" simplePos="0" relativeHeight="251672576" behindDoc="0" locked="0" layoutInCell="1" allowOverlap="1" wp14:anchorId="4FCF95F7" wp14:editId="41901A30">
          <wp:simplePos x="0" y="0"/>
          <wp:positionH relativeFrom="margin">
            <wp:posOffset>5067300</wp:posOffset>
          </wp:positionH>
          <wp:positionV relativeFrom="paragraph">
            <wp:posOffset>-38100</wp:posOffset>
          </wp:positionV>
          <wp:extent cx="714271" cy="8547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71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B03A7">
      <w:drawing>
        <wp:anchor distT="0" distB="0" distL="114300" distR="114300" simplePos="0" relativeHeight="251673600" behindDoc="0" locked="0" layoutInCell="1" allowOverlap="1" wp14:anchorId="7AB74570" wp14:editId="1EF5DC55">
          <wp:simplePos x="0" y="0"/>
          <wp:positionH relativeFrom="margin">
            <wp:posOffset>5724525</wp:posOffset>
          </wp:positionH>
          <wp:positionV relativeFrom="paragraph">
            <wp:posOffset>132715</wp:posOffset>
          </wp:positionV>
          <wp:extent cx="761365" cy="647700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B1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AC9A898" wp14:editId="5664E056">
              <wp:simplePos x="0" y="0"/>
              <wp:positionH relativeFrom="column">
                <wp:posOffset>1203960</wp:posOffset>
              </wp:positionH>
              <wp:positionV relativeFrom="paragraph">
                <wp:posOffset>-40640</wp:posOffset>
              </wp:positionV>
              <wp:extent cx="3943350" cy="8763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10623" w14:textId="77777777" w:rsidR="003B03A7" w:rsidRPr="00B7480F" w:rsidRDefault="003B03A7" w:rsidP="003B03A7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</w:pPr>
                          <w:r w:rsidRPr="00B7480F"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  <w:t>Comité de Control y Desempeño Institucional de</w:t>
                          </w:r>
                        </w:p>
                        <w:p w14:paraId="40551BC5" w14:textId="77777777" w:rsidR="003B03A7" w:rsidRPr="00B7480F" w:rsidRDefault="003B03A7" w:rsidP="003B03A7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</w:pPr>
                          <w:r w:rsidRPr="00B7480F"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  <w:t>El Colegio de la Frontera Sur (COCODI-ECOSUR)</w:t>
                          </w:r>
                        </w:p>
                        <w:p w14:paraId="1C17311B" w14:textId="77777777" w:rsidR="003B03A7" w:rsidRPr="00B7480F" w:rsidRDefault="003B03A7" w:rsidP="003B03A7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</w:pPr>
                          <w:r w:rsidRPr="00B7480F">
                            <w:rPr>
                              <w:rFonts w:ascii="Candara" w:hAnsi="Candara"/>
                              <w:b/>
                              <w:sz w:val="28"/>
                              <w:szCs w:val="28"/>
                            </w:rPr>
                            <w:t>Cuarta Sesión Ordinaria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9A8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4.8pt;margin-top:-3.2pt;width:310.5pt;height:6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cIwIAACIEAAAOAAAAZHJzL2Uyb0RvYy54bWysU9uO2yAQfa/Uf0C8N3ZuuxsrzmqbbapK&#10;24u07QdgwDEqMBRI7O3X74Cz2ah9q+oHxHiGw5kzh/XtYDQ5Sh8U2JpOJyUl0nIQyu5r+uP77t0N&#10;JSEyK5gGK2v6JAO93bx9s+5dJWfQgRbSEwSxoepdTbsYXVUUgXfSsDABJy0mW/CGRQz9vhCe9Yhu&#10;dDEry6uiBy+cBy5DwL/3Y5JuMn7bSh6/tm2QkeiaIreYV5/XJq3FZs2qvWeuU/xEg/0DC8OUxUvP&#10;UPcsMnLw6i8oo7iHAG2ccDAFtK3iMveA3UzLP7p57JiTuRcUJ7izTOH/wfIvx2+eKIGzo8QygyPa&#10;HpjwQIQkUQ4RyCyJ1LtQYe2jw+o4vIchHUgNB/cA/GcgFrYds3t55z30nWQCSU7TyeLi6IgTEkjT&#10;fwaBt7FDhAw0tN4kQNSEIDoO6+k8IORBOP6crxbz+RJTHHM311fzMk+wYNXLaedD/CjBkLSpqUcD&#10;ZHR2fAgxsWHVS0lmD1qJndI6B37fbLUnR4Zm2eUvN4BNXpZpS/qarpazZUa2kM5nHxkV0cxaGSRX&#10;pm+0V1LjgxW5JDKlxz0y0fYkT1Jk1CYOzYCFSbMGxBMK5WE0LT4y3HTgf1PSo2FrGn4dmJeU6E8W&#10;xV5NF4vk8BwsltczDPxlprnMMMsRqqaRknG7jflVJB0s3OFQWpX1emVy4opGzDKeHk1y+mWcq16f&#10;9uYZAAD//wMAUEsDBBQABgAIAAAAIQCrL9W/3QAAAAoBAAAPAAAAZHJzL2Rvd25yZXYueG1sTI/B&#10;TsMwEETvSPyDtUhcUOsEipuGOBUggbi29AM2sZtExOsodpv071lO9Dg7T7MzxXZ2vTjbMXSeNKTL&#10;BISl2puOGg2H749FBiJEJIO9J6vhYgNsy9ubAnPjJ9rZ8z42gkMo5KihjXHIpQx1ax2GpR8ssXf0&#10;o8PIcmykGXHicNfLxyRR0mFH/KHFwb63tv7Zn5yG49f08LyZqs94WO9W6g27deUvWt/fza8vIKKd&#10;4z8Mf/W5OpTcqfInMkH0rLONYlTDQq1AMJClCR8qdp5SBbIs5PWE8hcAAP//AwBQSwECLQAUAAYA&#10;CAAAACEAtoM4kv4AAADhAQAAEwAAAAAAAAAAAAAAAAAAAAAAW0NvbnRlbnRfVHlwZXNdLnhtbFBL&#10;AQItABQABgAIAAAAIQA4/SH/1gAAAJQBAAALAAAAAAAAAAAAAAAAAC8BAABfcmVscy8ucmVsc1BL&#10;AQItABQABgAIAAAAIQDhPKGcIwIAACIEAAAOAAAAAAAAAAAAAAAAAC4CAABkcnMvZTJvRG9jLnht&#10;bFBLAQItABQABgAIAAAAIQCrL9W/3QAAAAoBAAAPAAAAAAAAAAAAAAAAAH0EAABkcnMvZG93bnJl&#10;di54bWxQSwUGAAAAAAQABADzAAAAhwUAAAAA&#10;" stroked="f">
              <v:textbox>
                <w:txbxContent>
                  <w:p w14:paraId="16010623" w14:textId="77777777" w:rsidR="003B03A7" w:rsidRPr="00B7480F" w:rsidRDefault="003B03A7" w:rsidP="003B03A7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28"/>
                        <w:szCs w:val="28"/>
                      </w:rPr>
                    </w:pPr>
                    <w:r w:rsidRPr="00B7480F">
                      <w:rPr>
                        <w:rFonts w:ascii="Candara" w:hAnsi="Candara"/>
                        <w:b/>
                        <w:sz w:val="28"/>
                        <w:szCs w:val="28"/>
                      </w:rPr>
                      <w:t>Comité de Control y Desempeño Institucional de</w:t>
                    </w:r>
                  </w:p>
                  <w:p w14:paraId="40551BC5" w14:textId="77777777" w:rsidR="003B03A7" w:rsidRPr="00B7480F" w:rsidRDefault="003B03A7" w:rsidP="003B03A7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28"/>
                        <w:szCs w:val="28"/>
                      </w:rPr>
                    </w:pPr>
                    <w:r w:rsidRPr="00B7480F">
                      <w:rPr>
                        <w:rFonts w:ascii="Candara" w:hAnsi="Candara"/>
                        <w:b/>
                        <w:sz w:val="28"/>
                        <w:szCs w:val="28"/>
                      </w:rPr>
                      <w:t>El Colegio de la Frontera Sur (COCODI-ECOSUR)</w:t>
                    </w:r>
                  </w:p>
                  <w:p w14:paraId="1C17311B" w14:textId="77777777" w:rsidR="003B03A7" w:rsidRPr="00B7480F" w:rsidRDefault="003B03A7" w:rsidP="003B03A7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28"/>
                        <w:szCs w:val="28"/>
                      </w:rPr>
                    </w:pPr>
                    <w:r w:rsidRPr="00B7480F">
                      <w:rPr>
                        <w:rFonts w:ascii="Candara" w:hAnsi="Candara"/>
                        <w:b/>
                        <w:sz w:val="28"/>
                        <w:szCs w:val="28"/>
                      </w:rPr>
                      <w:t>Cuarta Sesión Ordinaria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3A7"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022C9F8" wp14:editId="003383AC">
          <wp:simplePos x="0" y="0"/>
          <wp:positionH relativeFrom="margin">
            <wp:posOffset>95250</wp:posOffset>
          </wp:positionH>
          <wp:positionV relativeFrom="paragraph">
            <wp:posOffset>-41093</wp:posOffset>
          </wp:positionV>
          <wp:extent cx="1027037" cy="77152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037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9E1AC" w14:textId="41F5F98B" w:rsidR="001B22CE" w:rsidRDefault="001B22CE" w:rsidP="00A742A2"/>
  <w:p w14:paraId="6CB95332" w14:textId="77777777" w:rsidR="006B6192" w:rsidRDefault="006B6192" w:rsidP="006B6192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952E" w14:textId="77777777" w:rsidR="00B7480F" w:rsidRDefault="00B74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EE9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26DE8"/>
    <w:multiLevelType w:val="hybridMultilevel"/>
    <w:tmpl w:val="3DDC72E0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781295"/>
    <w:multiLevelType w:val="hybridMultilevel"/>
    <w:tmpl w:val="A4B8D07E"/>
    <w:lvl w:ilvl="0" w:tplc="3432ED1A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1B3C49"/>
    <w:multiLevelType w:val="hybridMultilevel"/>
    <w:tmpl w:val="032AD3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315D"/>
    <w:multiLevelType w:val="hybridMultilevel"/>
    <w:tmpl w:val="C8829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60E9"/>
    <w:multiLevelType w:val="hybridMultilevel"/>
    <w:tmpl w:val="3E44084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A52A8"/>
    <w:multiLevelType w:val="hybridMultilevel"/>
    <w:tmpl w:val="8C4A72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165"/>
    <w:multiLevelType w:val="hybridMultilevel"/>
    <w:tmpl w:val="5380CD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B31"/>
    <w:multiLevelType w:val="hybridMultilevel"/>
    <w:tmpl w:val="43A0CDA6"/>
    <w:lvl w:ilvl="0" w:tplc="07BAAD0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2EB1"/>
    <w:multiLevelType w:val="hybridMultilevel"/>
    <w:tmpl w:val="EE0A746A"/>
    <w:lvl w:ilvl="0" w:tplc="CB228DFE">
      <w:start w:val="1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B19FE"/>
    <w:multiLevelType w:val="hybridMultilevel"/>
    <w:tmpl w:val="26C23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05A5"/>
    <w:multiLevelType w:val="hybridMultilevel"/>
    <w:tmpl w:val="8F262858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46740A"/>
    <w:multiLevelType w:val="hybridMultilevel"/>
    <w:tmpl w:val="7F2414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0198B"/>
    <w:multiLevelType w:val="hybridMultilevel"/>
    <w:tmpl w:val="4B9E4A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280C"/>
    <w:multiLevelType w:val="hybridMultilevel"/>
    <w:tmpl w:val="09BE1B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1FEA"/>
    <w:multiLevelType w:val="hybridMultilevel"/>
    <w:tmpl w:val="34B213A6"/>
    <w:lvl w:ilvl="0" w:tplc="276A5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C66C5"/>
    <w:multiLevelType w:val="hybridMultilevel"/>
    <w:tmpl w:val="083E7E2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76345C"/>
    <w:multiLevelType w:val="hybridMultilevel"/>
    <w:tmpl w:val="DC040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0869"/>
    <w:multiLevelType w:val="hybridMultilevel"/>
    <w:tmpl w:val="B5EEE1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41D6E"/>
    <w:multiLevelType w:val="hybridMultilevel"/>
    <w:tmpl w:val="AFA841A6"/>
    <w:lvl w:ilvl="0" w:tplc="54C206B6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44A40"/>
    <w:multiLevelType w:val="hybridMultilevel"/>
    <w:tmpl w:val="E7006972"/>
    <w:lvl w:ilvl="0" w:tplc="9D52CD0E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4D1"/>
    <w:multiLevelType w:val="hybridMultilevel"/>
    <w:tmpl w:val="2B2A3C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44B48"/>
    <w:multiLevelType w:val="hybridMultilevel"/>
    <w:tmpl w:val="B0427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36049"/>
    <w:multiLevelType w:val="hybridMultilevel"/>
    <w:tmpl w:val="E7006972"/>
    <w:lvl w:ilvl="0" w:tplc="9D52CD0E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F28BF"/>
    <w:multiLevelType w:val="hybridMultilevel"/>
    <w:tmpl w:val="CE507A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6C9B"/>
    <w:multiLevelType w:val="hybridMultilevel"/>
    <w:tmpl w:val="6F86C088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036CC9"/>
    <w:multiLevelType w:val="hybridMultilevel"/>
    <w:tmpl w:val="028287DC"/>
    <w:lvl w:ilvl="0" w:tplc="A02E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54B9"/>
    <w:multiLevelType w:val="hybridMultilevel"/>
    <w:tmpl w:val="C2A6119C"/>
    <w:lvl w:ilvl="0" w:tplc="4CFCD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77840"/>
    <w:multiLevelType w:val="hybridMultilevel"/>
    <w:tmpl w:val="2F3A0C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50A62"/>
    <w:multiLevelType w:val="hybridMultilevel"/>
    <w:tmpl w:val="95D80E6A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91B12"/>
    <w:multiLevelType w:val="hybridMultilevel"/>
    <w:tmpl w:val="5606B6D2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057456"/>
    <w:multiLevelType w:val="hybridMultilevel"/>
    <w:tmpl w:val="041AD364"/>
    <w:lvl w:ilvl="0" w:tplc="456824E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783F"/>
    <w:multiLevelType w:val="hybridMultilevel"/>
    <w:tmpl w:val="4328C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17799"/>
    <w:multiLevelType w:val="hybridMultilevel"/>
    <w:tmpl w:val="E4D2D1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22C47"/>
    <w:multiLevelType w:val="hybridMultilevel"/>
    <w:tmpl w:val="C86C8B60"/>
    <w:lvl w:ilvl="0" w:tplc="08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69D617D5"/>
    <w:multiLevelType w:val="hybridMultilevel"/>
    <w:tmpl w:val="DD963FD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D62B3"/>
    <w:multiLevelType w:val="hybridMultilevel"/>
    <w:tmpl w:val="918A03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F021F2"/>
    <w:multiLevelType w:val="hybridMultilevel"/>
    <w:tmpl w:val="D214BF2A"/>
    <w:lvl w:ilvl="0" w:tplc="08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5911614"/>
    <w:multiLevelType w:val="hybridMultilevel"/>
    <w:tmpl w:val="5890EA84"/>
    <w:lvl w:ilvl="0" w:tplc="0C0A0013">
      <w:start w:val="1"/>
      <w:numFmt w:val="upperRoman"/>
      <w:lvlText w:val="%1."/>
      <w:lvlJc w:val="right"/>
      <w:pPr>
        <w:ind w:left="720" w:hanging="18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7320B"/>
    <w:multiLevelType w:val="hybridMultilevel"/>
    <w:tmpl w:val="1B2E22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21"/>
  </w:num>
  <w:num w:numId="8">
    <w:abstractNumId w:val="2"/>
  </w:num>
  <w:num w:numId="9">
    <w:abstractNumId w:val="39"/>
  </w:num>
  <w:num w:numId="10">
    <w:abstractNumId w:val="34"/>
  </w:num>
  <w:num w:numId="11">
    <w:abstractNumId w:val="3"/>
  </w:num>
  <w:num w:numId="12">
    <w:abstractNumId w:val="38"/>
  </w:num>
  <w:num w:numId="13">
    <w:abstractNumId w:val="0"/>
  </w:num>
  <w:num w:numId="14">
    <w:abstractNumId w:val="9"/>
  </w:num>
  <w:num w:numId="15">
    <w:abstractNumId w:val="19"/>
  </w:num>
  <w:num w:numId="16">
    <w:abstractNumId w:val="31"/>
  </w:num>
  <w:num w:numId="17">
    <w:abstractNumId w:val="27"/>
  </w:num>
  <w:num w:numId="18">
    <w:abstractNumId w:val="15"/>
  </w:num>
  <w:num w:numId="19">
    <w:abstractNumId w:val="29"/>
  </w:num>
  <w:num w:numId="20">
    <w:abstractNumId w:val="35"/>
  </w:num>
  <w:num w:numId="21">
    <w:abstractNumId w:val="6"/>
  </w:num>
  <w:num w:numId="22">
    <w:abstractNumId w:val="28"/>
  </w:num>
  <w:num w:numId="23">
    <w:abstractNumId w:val="30"/>
  </w:num>
  <w:num w:numId="24">
    <w:abstractNumId w:val="37"/>
  </w:num>
  <w:num w:numId="25">
    <w:abstractNumId w:val="24"/>
  </w:num>
  <w:num w:numId="26">
    <w:abstractNumId w:val="5"/>
  </w:num>
  <w:num w:numId="27">
    <w:abstractNumId w:val="25"/>
  </w:num>
  <w:num w:numId="28">
    <w:abstractNumId w:val="12"/>
  </w:num>
  <w:num w:numId="29">
    <w:abstractNumId w:val="18"/>
  </w:num>
  <w:num w:numId="30">
    <w:abstractNumId w:val="33"/>
  </w:num>
  <w:num w:numId="31">
    <w:abstractNumId w:val="11"/>
  </w:num>
  <w:num w:numId="32">
    <w:abstractNumId w:val="20"/>
  </w:num>
  <w:num w:numId="33">
    <w:abstractNumId w:val="4"/>
  </w:num>
  <w:num w:numId="34">
    <w:abstractNumId w:val="16"/>
  </w:num>
  <w:num w:numId="35">
    <w:abstractNumId w:val="1"/>
  </w:num>
  <w:num w:numId="36">
    <w:abstractNumId w:val="36"/>
  </w:num>
  <w:num w:numId="37">
    <w:abstractNumId w:val="32"/>
  </w:num>
  <w:num w:numId="38">
    <w:abstractNumId w:val="22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A"/>
    <w:rsid w:val="00006688"/>
    <w:rsid w:val="00016101"/>
    <w:rsid w:val="00020CFE"/>
    <w:rsid w:val="0002606B"/>
    <w:rsid w:val="00031097"/>
    <w:rsid w:val="00034DCC"/>
    <w:rsid w:val="00036782"/>
    <w:rsid w:val="00040C8C"/>
    <w:rsid w:val="0004166F"/>
    <w:rsid w:val="00044C4B"/>
    <w:rsid w:val="000462DD"/>
    <w:rsid w:val="000473AF"/>
    <w:rsid w:val="000558CF"/>
    <w:rsid w:val="000708F3"/>
    <w:rsid w:val="0007304A"/>
    <w:rsid w:val="00090E1B"/>
    <w:rsid w:val="000B515C"/>
    <w:rsid w:val="000B64C7"/>
    <w:rsid w:val="000B67A8"/>
    <w:rsid w:val="000C1B36"/>
    <w:rsid w:val="000C71BF"/>
    <w:rsid w:val="000D601B"/>
    <w:rsid w:val="000F561B"/>
    <w:rsid w:val="000F6731"/>
    <w:rsid w:val="0010625B"/>
    <w:rsid w:val="00114E0D"/>
    <w:rsid w:val="00120E7C"/>
    <w:rsid w:val="0012163E"/>
    <w:rsid w:val="00126C1B"/>
    <w:rsid w:val="00127929"/>
    <w:rsid w:val="00131A25"/>
    <w:rsid w:val="00152822"/>
    <w:rsid w:val="001548D5"/>
    <w:rsid w:val="001664B9"/>
    <w:rsid w:val="001710D6"/>
    <w:rsid w:val="00187A0C"/>
    <w:rsid w:val="0019794D"/>
    <w:rsid w:val="001A257C"/>
    <w:rsid w:val="001A5606"/>
    <w:rsid w:val="001A61CC"/>
    <w:rsid w:val="001B22CE"/>
    <w:rsid w:val="001B4278"/>
    <w:rsid w:val="001B5CAA"/>
    <w:rsid w:val="001C0399"/>
    <w:rsid w:val="001C1228"/>
    <w:rsid w:val="001D344A"/>
    <w:rsid w:val="001D53A4"/>
    <w:rsid w:val="001E63FE"/>
    <w:rsid w:val="001F108D"/>
    <w:rsid w:val="001F1B25"/>
    <w:rsid w:val="00221B7E"/>
    <w:rsid w:val="0022777D"/>
    <w:rsid w:val="00251998"/>
    <w:rsid w:val="00252597"/>
    <w:rsid w:val="00256ED2"/>
    <w:rsid w:val="00276EE3"/>
    <w:rsid w:val="00290061"/>
    <w:rsid w:val="00290583"/>
    <w:rsid w:val="00294E9A"/>
    <w:rsid w:val="00294FC9"/>
    <w:rsid w:val="002A5D81"/>
    <w:rsid w:val="002B264C"/>
    <w:rsid w:val="002B2E34"/>
    <w:rsid w:val="002D7D15"/>
    <w:rsid w:val="002E082E"/>
    <w:rsid w:val="002E4C5D"/>
    <w:rsid w:val="002E6B0F"/>
    <w:rsid w:val="002E6E60"/>
    <w:rsid w:val="002F2460"/>
    <w:rsid w:val="00310574"/>
    <w:rsid w:val="00320E64"/>
    <w:rsid w:val="00321A8B"/>
    <w:rsid w:val="00324029"/>
    <w:rsid w:val="00331BAF"/>
    <w:rsid w:val="00337249"/>
    <w:rsid w:val="003416C8"/>
    <w:rsid w:val="00342892"/>
    <w:rsid w:val="00342C40"/>
    <w:rsid w:val="00343CED"/>
    <w:rsid w:val="00360E55"/>
    <w:rsid w:val="00362219"/>
    <w:rsid w:val="003635E6"/>
    <w:rsid w:val="00371D7B"/>
    <w:rsid w:val="00374705"/>
    <w:rsid w:val="003922F8"/>
    <w:rsid w:val="003A034B"/>
    <w:rsid w:val="003A3617"/>
    <w:rsid w:val="003B03A7"/>
    <w:rsid w:val="003B25F1"/>
    <w:rsid w:val="003B34CE"/>
    <w:rsid w:val="003D61DF"/>
    <w:rsid w:val="003E0FDD"/>
    <w:rsid w:val="003E1A32"/>
    <w:rsid w:val="003E7BBB"/>
    <w:rsid w:val="003F2BE9"/>
    <w:rsid w:val="003F453E"/>
    <w:rsid w:val="00403CE7"/>
    <w:rsid w:val="00406C23"/>
    <w:rsid w:val="00424F4A"/>
    <w:rsid w:val="00433799"/>
    <w:rsid w:val="00434D7B"/>
    <w:rsid w:val="00436708"/>
    <w:rsid w:val="00440D68"/>
    <w:rsid w:val="0044419C"/>
    <w:rsid w:val="0044570D"/>
    <w:rsid w:val="00457663"/>
    <w:rsid w:val="00465BFA"/>
    <w:rsid w:val="00470CA2"/>
    <w:rsid w:val="00482619"/>
    <w:rsid w:val="0048493F"/>
    <w:rsid w:val="004A03BF"/>
    <w:rsid w:val="004B5F12"/>
    <w:rsid w:val="004C3203"/>
    <w:rsid w:val="004C4A24"/>
    <w:rsid w:val="004C6BDF"/>
    <w:rsid w:val="004D28D1"/>
    <w:rsid w:val="004E4644"/>
    <w:rsid w:val="004F6AC9"/>
    <w:rsid w:val="00504007"/>
    <w:rsid w:val="0053301F"/>
    <w:rsid w:val="00545E94"/>
    <w:rsid w:val="00557FA8"/>
    <w:rsid w:val="00563170"/>
    <w:rsid w:val="00596420"/>
    <w:rsid w:val="005C3CF1"/>
    <w:rsid w:val="005D31D7"/>
    <w:rsid w:val="005D43CC"/>
    <w:rsid w:val="005F1126"/>
    <w:rsid w:val="0060197A"/>
    <w:rsid w:val="00602D80"/>
    <w:rsid w:val="006065B1"/>
    <w:rsid w:val="0061743F"/>
    <w:rsid w:val="006416F5"/>
    <w:rsid w:val="0065506A"/>
    <w:rsid w:val="00660446"/>
    <w:rsid w:val="00667F9E"/>
    <w:rsid w:val="0067511A"/>
    <w:rsid w:val="00682905"/>
    <w:rsid w:val="00686C21"/>
    <w:rsid w:val="006873F4"/>
    <w:rsid w:val="006915A4"/>
    <w:rsid w:val="006A3CE9"/>
    <w:rsid w:val="006A5A39"/>
    <w:rsid w:val="006A6483"/>
    <w:rsid w:val="006B1630"/>
    <w:rsid w:val="006B4C69"/>
    <w:rsid w:val="006B6192"/>
    <w:rsid w:val="006B63DB"/>
    <w:rsid w:val="006C2402"/>
    <w:rsid w:val="006D0998"/>
    <w:rsid w:val="006D5E36"/>
    <w:rsid w:val="006F1564"/>
    <w:rsid w:val="00706933"/>
    <w:rsid w:val="00716ACE"/>
    <w:rsid w:val="00723CB7"/>
    <w:rsid w:val="00730073"/>
    <w:rsid w:val="00730771"/>
    <w:rsid w:val="00730EC8"/>
    <w:rsid w:val="00731794"/>
    <w:rsid w:val="00732D71"/>
    <w:rsid w:val="007370BF"/>
    <w:rsid w:val="00752B30"/>
    <w:rsid w:val="007804D1"/>
    <w:rsid w:val="00784D1B"/>
    <w:rsid w:val="00785B69"/>
    <w:rsid w:val="007A5D5A"/>
    <w:rsid w:val="007B22A4"/>
    <w:rsid w:val="007B33F7"/>
    <w:rsid w:val="007B5B41"/>
    <w:rsid w:val="007B6CAE"/>
    <w:rsid w:val="007D3B8E"/>
    <w:rsid w:val="007E0A3F"/>
    <w:rsid w:val="008150D9"/>
    <w:rsid w:val="00822238"/>
    <w:rsid w:val="008335EA"/>
    <w:rsid w:val="00833C6A"/>
    <w:rsid w:val="008342DF"/>
    <w:rsid w:val="00835EA6"/>
    <w:rsid w:val="00855E96"/>
    <w:rsid w:val="008568EB"/>
    <w:rsid w:val="00862290"/>
    <w:rsid w:val="00893F1B"/>
    <w:rsid w:val="008952C4"/>
    <w:rsid w:val="008A0EB7"/>
    <w:rsid w:val="008C361E"/>
    <w:rsid w:val="008C4B04"/>
    <w:rsid w:val="008D45F3"/>
    <w:rsid w:val="008E075A"/>
    <w:rsid w:val="008E6959"/>
    <w:rsid w:val="008F2C73"/>
    <w:rsid w:val="008F5BFA"/>
    <w:rsid w:val="008F6DDC"/>
    <w:rsid w:val="00900C34"/>
    <w:rsid w:val="00907B6F"/>
    <w:rsid w:val="00907F2E"/>
    <w:rsid w:val="0091149C"/>
    <w:rsid w:val="009158A2"/>
    <w:rsid w:val="0093117C"/>
    <w:rsid w:val="0094632C"/>
    <w:rsid w:val="00947A9F"/>
    <w:rsid w:val="0096214C"/>
    <w:rsid w:val="0097559C"/>
    <w:rsid w:val="009800B0"/>
    <w:rsid w:val="009B35F4"/>
    <w:rsid w:val="009D1EFE"/>
    <w:rsid w:val="009D2F8A"/>
    <w:rsid w:val="009D66EA"/>
    <w:rsid w:val="009E24CB"/>
    <w:rsid w:val="009E6366"/>
    <w:rsid w:val="009F4F37"/>
    <w:rsid w:val="00A02452"/>
    <w:rsid w:val="00A131B9"/>
    <w:rsid w:val="00A25521"/>
    <w:rsid w:val="00A26C25"/>
    <w:rsid w:val="00A27A42"/>
    <w:rsid w:val="00A30531"/>
    <w:rsid w:val="00A34431"/>
    <w:rsid w:val="00A4046A"/>
    <w:rsid w:val="00A46C1C"/>
    <w:rsid w:val="00A55B3D"/>
    <w:rsid w:val="00A57A4E"/>
    <w:rsid w:val="00A701B3"/>
    <w:rsid w:val="00A742A2"/>
    <w:rsid w:val="00A82C80"/>
    <w:rsid w:val="00A83DA1"/>
    <w:rsid w:val="00A85443"/>
    <w:rsid w:val="00A867C8"/>
    <w:rsid w:val="00A954D9"/>
    <w:rsid w:val="00AA03B6"/>
    <w:rsid w:val="00AD071E"/>
    <w:rsid w:val="00AD645A"/>
    <w:rsid w:val="00AE78C2"/>
    <w:rsid w:val="00B02419"/>
    <w:rsid w:val="00B04A95"/>
    <w:rsid w:val="00B04EAB"/>
    <w:rsid w:val="00B11BC5"/>
    <w:rsid w:val="00B14D0A"/>
    <w:rsid w:val="00B15700"/>
    <w:rsid w:val="00B221E4"/>
    <w:rsid w:val="00B229BA"/>
    <w:rsid w:val="00B2410D"/>
    <w:rsid w:val="00B2424F"/>
    <w:rsid w:val="00B30C98"/>
    <w:rsid w:val="00B44B14"/>
    <w:rsid w:val="00B552F8"/>
    <w:rsid w:val="00B707D6"/>
    <w:rsid w:val="00B7480F"/>
    <w:rsid w:val="00B81E57"/>
    <w:rsid w:val="00B96188"/>
    <w:rsid w:val="00B96F46"/>
    <w:rsid w:val="00BC337F"/>
    <w:rsid w:val="00BC7FBF"/>
    <w:rsid w:val="00BD2E6A"/>
    <w:rsid w:val="00BE2A0C"/>
    <w:rsid w:val="00BF3A9D"/>
    <w:rsid w:val="00BF4111"/>
    <w:rsid w:val="00BF54E0"/>
    <w:rsid w:val="00C0403D"/>
    <w:rsid w:val="00C0454F"/>
    <w:rsid w:val="00C04A81"/>
    <w:rsid w:val="00C068B8"/>
    <w:rsid w:val="00C10D8E"/>
    <w:rsid w:val="00C16F66"/>
    <w:rsid w:val="00C213AA"/>
    <w:rsid w:val="00C47F6F"/>
    <w:rsid w:val="00C50AD1"/>
    <w:rsid w:val="00C55CB5"/>
    <w:rsid w:val="00C6397E"/>
    <w:rsid w:val="00C65AFB"/>
    <w:rsid w:val="00C67DCF"/>
    <w:rsid w:val="00C7001C"/>
    <w:rsid w:val="00C73007"/>
    <w:rsid w:val="00C746C7"/>
    <w:rsid w:val="00C75109"/>
    <w:rsid w:val="00C84500"/>
    <w:rsid w:val="00C84521"/>
    <w:rsid w:val="00C93C5E"/>
    <w:rsid w:val="00CA211D"/>
    <w:rsid w:val="00CA425F"/>
    <w:rsid w:val="00CA48A4"/>
    <w:rsid w:val="00CA5A4B"/>
    <w:rsid w:val="00CA7E3A"/>
    <w:rsid w:val="00CB4082"/>
    <w:rsid w:val="00CB5B65"/>
    <w:rsid w:val="00CD5EA7"/>
    <w:rsid w:val="00CD72F0"/>
    <w:rsid w:val="00CE6B73"/>
    <w:rsid w:val="00CE75A6"/>
    <w:rsid w:val="00CF2AFD"/>
    <w:rsid w:val="00D02857"/>
    <w:rsid w:val="00D03E8E"/>
    <w:rsid w:val="00D05D88"/>
    <w:rsid w:val="00D16322"/>
    <w:rsid w:val="00D20281"/>
    <w:rsid w:val="00D30B9E"/>
    <w:rsid w:val="00D402F2"/>
    <w:rsid w:val="00D43776"/>
    <w:rsid w:val="00D472B0"/>
    <w:rsid w:val="00D47608"/>
    <w:rsid w:val="00D5569C"/>
    <w:rsid w:val="00D568DE"/>
    <w:rsid w:val="00D70C1B"/>
    <w:rsid w:val="00D72E4E"/>
    <w:rsid w:val="00DA43C5"/>
    <w:rsid w:val="00DA4C44"/>
    <w:rsid w:val="00DA51CE"/>
    <w:rsid w:val="00DA603C"/>
    <w:rsid w:val="00DB0285"/>
    <w:rsid w:val="00DB0CC9"/>
    <w:rsid w:val="00DB3282"/>
    <w:rsid w:val="00DB4FD7"/>
    <w:rsid w:val="00DB618C"/>
    <w:rsid w:val="00DC3357"/>
    <w:rsid w:val="00DE4A72"/>
    <w:rsid w:val="00DE7524"/>
    <w:rsid w:val="00DF37DC"/>
    <w:rsid w:val="00E026F1"/>
    <w:rsid w:val="00E039EC"/>
    <w:rsid w:val="00E16DBF"/>
    <w:rsid w:val="00E26311"/>
    <w:rsid w:val="00E27CFF"/>
    <w:rsid w:val="00E66311"/>
    <w:rsid w:val="00E67C3F"/>
    <w:rsid w:val="00E820FA"/>
    <w:rsid w:val="00EA1A82"/>
    <w:rsid w:val="00EB7467"/>
    <w:rsid w:val="00EC40E5"/>
    <w:rsid w:val="00EC6396"/>
    <w:rsid w:val="00EC653E"/>
    <w:rsid w:val="00EC7CC9"/>
    <w:rsid w:val="00ED60BC"/>
    <w:rsid w:val="00EE2D70"/>
    <w:rsid w:val="00F043A8"/>
    <w:rsid w:val="00F05DAE"/>
    <w:rsid w:val="00F06A18"/>
    <w:rsid w:val="00F1621B"/>
    <w:rsid w:val="00F20FA7"/>
    <w:rsid w:val="00F22750"/>
    <w:rsid w:val="00F227C4"/>
    <w:rsid w:val="00F52696"/>
    <w:rsid w:val="00F836BC"/>
    <w:rsid w:val="00F8611E"/>
    <w:rsid w:val="00FA5903"/>
    <w:rsid w:val="00FB5EBE"/>
    <w:rsid w:val="00FC4495"/>
    <w:rsid w:val="00FC48DD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BC1113"/>
  <w15:docId w15:val="{CFDB6187-9EDC-E449-98EC-EA8613AB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77D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227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B74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4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4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467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A742A2"/>
  </w:style>
  <w:style w:type="character" w:customStyle="1" w:styleId="Ttulo2Car">
    <w:name w:val="Título 2 Car"/>
    <w:basedOn w:val="Fuentedeprrafopredeter"/>
    <w:link w:val="Ttulo2"/>
    <w:uiPriority w:val="9"/>
    <w:rsid w:val="001C0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4C6BD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6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14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BDEB6850D644A0C578C454AF8196" ma:contentTypeVersion="2" ma:contentTypeDescription="Create a new document." ma:contentTypeScope="" ma:versionID="084a111f2c7da286869f4f2235f57875">
  <xsd:schema xmlns:xsd="http://www.w3.org/2001/XMLSchema" xmlns:xs="http://www.w3.org/2001/XMLSchema" xmlns:p="http://schemas.microsoft.com/office/2006/metadata/properties" xmlns:ns2="68afed51-a01e-465c-8206-3a115ef8675c" targetNamespace="http://schemas.microsoft.com/office/2006/metadata/properties" ma:root="true" ma:fieldsID="3694b8234ec6c9498500c294668ac5ca" ns2:_="">
    <xsd:import namespace="68afed51-a01e-465c-8206-3a115ef86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ed51-a01e-465c-8206-3a115ef86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D062-31E1-4E60-8AF3-3AAAE1903BF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8afed51-a01e-465c-8206-3a115ef8675c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CB1620-A45C-4D17-8C5D-C6CEAA9CF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3FF7B-31B8-4D9D-9ED7-BEA4C52BD9B4}"/>
</file>

<file path=customXml/itemProps4.xml><?xml version="1.0" encoding="utf-8"?>
<ds:datastoreItem xmlns:ds="http://schemas.openxmlformats.org/officeDocument/2006/customXml" ds:itemID="{77FDA7AB-FFE7-48BF-BD89-AD3D3051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yolanda méndez mijangos</cp:lastModifiedBy>
  <cp:revision>6</cp:revision>
  <cp:lastPrinted>2019-11-12T21:57:00Z</cp:lastPrinted>
  <dcterms:created xsi:type="dcterms:W3CDTF">2019-11-07T20:11:00Z</dcterms:created>
  <dcterms:modified xsi:type="dcterms:W3CDTF">2019-11-12T22:00:00Z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0x010100767EBDEB6850D644A0C578C454AF8196</vt:lpwstr>
  </property>
</Properties>
</file>