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61F36" w14:textId="77777777" w:rsidR="00D207E7" w:rsidRDefault="00D207E7" w:rsidP="00C07C99">
      <w:pPr>
        <w:ind w:left="709" w:hanging="709"/>
        <w:rPr>
          <w:rFonts w:ascii="Candara" w:hAnsi="Candara"/>
          <w:b/>
          <w:bCs/>
          <w:iCs/>
        </w:rPr>
      </w:pPr>
    </w:p>
    <w:p w14:paraId="32D49290" w14:textId="77777777" w:rsidR="00D207E7" w:rsidRDefault="00D207E7" w:rsidP="00C07C99">
      <w:pPr>
        <w:ind w:left="709" w:hanging="709"/>
        <w:rPr>
          <w:rFonts w:ascii="Candara" w:hAnsi="Candara"/>
          <w:b/>
          <w:bCs/>
          <w:iCs/>
          <w:sz w:val="24"/>
          <w:szCs w:val="24"/>
        </w:rPr>
      </w:pPr>
    </w:p>
    <w:p w14:paraId="38E5A27E" w14:textId="307C7D02" w:rsidR="00BF6B66" w:rsidRPr="00D207E7" w:rsidRDefault="00C07C99" w:rsidP="00C07C99">
      <w:pPr>
        <w:ind w:left="709" w:hanging="709"/>
        <w:rPr>
          <w:rFonts w:ascii="Candara" w:hAnsi="Candara"/>
          <w:b/>
          <w:bCs/>
          <w:iCs/>
          <w:sz w:val="24"/>
          <w:szCs w:val="24"/>
        </w:rPr>
      </w:pPr>
      <w:r w:rsidRPr="00D207E7">
        <w:rPr>
          <w:rFonts w:ascii="Candara" w:hAnsi="Candara"/>
          <w:b/>
          <w:bCs/>
          <w:iCs/>
          <w:sz w:val="24"/>
          <w:szCs w:val="24"/>
        </w:rPr>
        <w:t>VII</w:t>
      </w:r>
      <w:r w:rsidR="00BF6B66" w:rsidRPr="00D207E7">
        <w:rPr>
          <w:rFonts w:ascii="Candara" w:hAnsi="Candara"/>
          <w:b/>
          <w:bCs/>
          <w:iCs/>
          <w:sz w:val="24"/>
          <w:szCs w:val="24"/>
        </w:rPr>
        <w:t>.</w:t>
      </w:r>
      <w:r w:rsidRPr="00D207E7">
        <w:rPr>
          <w:rFonts w:ascii="Candara" w:hAnsi="Candara"/>
          <w:b/>
          <w:bCs/>
          <w:iCs/>
          <w:sz w:val="24"/>
          <w:szCs w:val="24"/>
        </w:rPr>
        <w:t xml:space="preserve"> a2)</w:t>
      </w:r>
      <w:r w:rsidR="00BF6B66" w:rsidRPr="00D207E7">
        <w:rPr>
          <w:rFonts w:ascii="Candara" w:hAnsi="Candara"/>
          <w:b/>
          <w:bCs/>
          <w:iCs/>
          <w:sz w:val="24"/>
          <w:szCs w:val="24"/>
        </w:rPr>
        <w:t xml:space="preserve"> Indicadores del Anexo III del Convenio de Administración por Resultados (CAR) correspondientes a enero-diciembre del año 2019</w:t>
      </w:r>
    </w:p>
    <w:p w14:paraId="74F4FD84" w14:textId="209955A5" w:rsidR="00647CA5" w:rsidRPr="00C07C99" w:rsidRDefault="00BF6B66" w:rsidP="00BF6B66">
      <w:pPr>
        <w:jc w:val="both"/>
        <w:rPr>
          <w:rFonts w:ascii="Candara" w:hAnsi="Candara"/>
          <w:b/>
        </w:rPr>
      </w:pPr>
      <w:r w:rsidRPr="00C07C99">
        <w:rPr>
          <w:rFonts w:ascii="Candara" w:hAnsi="Candara"/>
        </w:rPr>
        <w:t xml:space="preserve">A </w:t>
      </w:r>
      <w:r w:rsidR="00C07C99" w:rsidRPr="00C07C99">
        <w:rPr>
          <w:rFonts w:ascii="Candara" w:hAnsi="Candara"/>
        </w:rPr>
        <w:t>continuación,</w:t>
      </w:r>
      <w:r w:rsidRPr="00C07C99">
        <w:rPr>
          <w:rFonts w:ascii="Candara" w:hAnsi="Candara"/>
        </w:rPr>
        <w:t xml:space="preserve"> se describe el desempeño en término de los indicadores del Centro (Figura 1).</w:t>
      </w:r>
    </w:p>
    <w:p w14:paraId="75AEA324" w14:textId="6C0C8AA1" w:rsidR="00647CA5" w:rsidRPr="00C07C99" w:rsidRDefault="00647CA5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noProof/>
          <w:lang w:eastAsia="es-MX"/>
        </w:rPr>
        <w:drawing>
          <wp:inline distT="0" distB="0" distL="0" distR="0" wp14:anchorId="4D47FAFA" wp14:editId="6D99E34F">
            <wp:extent cx="6103139" cy="2656217"/>
            <wp:effectExtent l="190500" t="190500" r="164465" b="16319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181" cy="268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6543F0" w14:textId="77777777" w:rsidR="00BF6B66" w:rsidRPr="00C07C99" w:rsidRDefault="00BF6B66" w:rsidP="00BF6B66">
      <w:pPr>
        <w:jc w:val="center"/>
        <w:rPr>
          <w:rFonts w:ascii="Candara" w:hAnsi="Candara"/>
          <w:bCs/>
        </w:rPr>
      </w:pPr>
      <w:r w:rsidRPr="00C07C99">
        <w:rPr>
          <w:rFonts w:ascii="Candara" w:hAnsi="Candara"/>
          <w:bCs/>
        </w:rPr>
        <w:t>Figura 1. Desempeño de los indicadores de ECOSUR en el primer semestre enero-junio 2019</w:t>
      </w:r>
    </w:p>
    <w:p w14:paraId="44671C0B" w14:textId="77777777" w:rsidR="00BF6B66" w:rsidRPr="00C07C99" w:rsidRDefault="00BF6B66" w:rsidP="00373B89">
      <w:pPr>
        <w:spacing w:after="0" w:line="240" w:lineRule="auto"/>
        <w:rPr>
          <w:rFonts w:ascii="Candara" w:hAnsi="Candara"/>
          <w:b/>
        </w:rPr>
      </w:pPr>
    </w:p>
    <w:p w14:paraId="053A8D3D" w14:textId="77777777" w:rsidR="007D0B9D" w:rsidRPr="00C07C99" w:rsidRDefault="007D0B9D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Índice de sostenibilidad económica para la investigación</w:t>
      </w:r>
    </w:p>
    <w:p w14:paraId="07EE774A" w14:textId="09855A5A" w:rsidR="007D0B9D" w:rsidRPr="00C07C99" w:rsidRDefault="007D0B9D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="00AD3BDB" w:rsidRPr="00C07C99">
        <w:rPr>
          <w:rFonts w:ascii="Candara" w:hAnsi="Candara"/>
        </w:rPr>
        <w:t xml:space="preserve"> 7</w:t>
      </w:r>
      <w:r w:rsidR="00647CA5" w:rsidRPr="00C07C99">
        <w:rPr>
          <w:rFonts w:ascii="Candara" w:hAnsi="Candara"/>
        </w:rPr>
        <w:t>8</w:t>
      </w:r>
      <w:r w:rsidRPr="00C07C99">
        <w:rPr>
          <w:rFonts w:ascii="Candara" w:hAnsi="Candara"/>
        </w:rPr>
        <w:t>%</w:t>
      </w:r>
    </w:p>
    <w:p w14:paraId="06BCD7DA" w14:textId="13CB8D86" w:rsidR="006A2394" w:rsidRPr="00C07C99" w:rsidRDefault="007D0B9D" w:rsidP="00BB6A5B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 xml:space="preserve">Este indicador identifica el porcentaje </w:t>
      </w:r>
      <w:r w:rsidR="007B7878">
        <w:rPr>
          <w:rFonts w:ascii="Candara" w:hAnsi="Candara"/>
        </w:rPr>
        <w:t>de</w:t>
      </w:r>
      <w:r w:rsidRPr="00C07C99">
        <w:rPr>
          <w:rFonts w:ascii="Candara" w:hAnsi="Candara"/>
        </w:rPr>
        <w:t xml:space="preserve"> recursos externos captados por proyectos de investigación con respecto al recurso fiscal destinado a la investigación. </w:t>
      </w:r>
      <w:r w:rsidR="00457CF7" w:rsidRPr="00C07C99">
        <w:rPr>
          <w:rFonts w:ascii="Candara" w:hAnsi="Candara"/>
        </w:rPr>
        <w:t xml:space="preserve">En </w:t>
      </w:r>
      <w:r w:rsidRPr="00C07C99">
        <w:rPr>
          <w:rFonts w:ascii="Candara" w:hAnsi="Candara"/>
        </w:rPr>
        <w:t xml:space="preserve">el periodo enero - </w:t>
      </w:r>
      <w:r w:rsidR="00A42D52" w:rsidRPr="00C07C99">
        <w:rPr>
          <w:rFonts w:ascii="Candara" w:hAnsi="Candara"/>
        </w:rPr>
        <w:t>diciembre</w:t>
      </w:r>
      <w:r w:rsidRPr="00C07C99">
        <w:rPr>
          <w:rFonts w:ascii="Candara" w:hAnsi="Candara"/>
        </w:rPr>
        <w:t xml:space="preserve"> de </w:t>
      </w:r>
      <w:r w:rsidR="00AD3BDB" w:rsidRPr="00C07C99">
        <w:rPr>
          <w:rFonts w:ascii="Candara" w:hAnsi="Candara"/>
        </w:rPr>
        <w:t>2019</w:t>
      </w:r>
      <w:r w:rsidR="00457CF7" w:rsidRPr="00C07C99">
        <w:rPr>
          <w:rFonts w:ascii="Candara" w:hAnsi="Candara"/>
        </w:rPr>
        <w:t xml:space="preserve"> se captaron </w:t>
      </w:r>
      <w:r w:rsidR="00A42D52" w:rsidRPr="00C07C99">
        <w:rPr>
          <w:rFonts w:ascii="Candara" w:hAnsi="Candara"/>
        </w:rPr>
        <w:t>20.48</w:t>
      </w:r>
      <w:r w:rsidR="00457CF7" w:rsidRPr="00C07C99">
        <w:rPr>
          <w:rFonts w:ascii="Candara" w:hAnsi="Candara"/>
        </w:rPr>
        <w:t xml:space="preserve"> millones de pesos a través de proyectos, que </w:t>
      </w:r>
      <w:r w:rsidR="007B7878" w:rsidRPr="00C07C99">
        <w:rPr>
          <w:rFonts w:ascii="Candara" w:hAnsi="Candara"/>
        </w:rPr>
        <w:t xml:space="preserve">representan 7% </w:t>
      </w:r>
      <w:r w:rsidR="007B7878">
        <w:rPr>
          <w:rFonts w:ascii="Candara" w:hAnsi="Candara"/>
        </w:rPr>
        <w:t>de</w:t>
      </w:r>
      <w:r w:rsidR="00457CF7" w:rsidRPr="00C07C99">
        <w:rPr>
          <w:rFonts w:ascii="Candara" w:hAnsi="Candara"/>
        </w:rPr>
        <w:t xml:space="preserve"> los </w:t>
      </w:r>
      <w:r w:rsidR="00A42D52" w:rsidRPr="00C07C99">
        <w:rPr>
          <w:rFonts w:ascii="Candara" w:hAnsi="Candara"/>
        </w:rPr>
        <w:t>310.25</w:t>
      </w:r>
      <w:r w:rsidR="00457CF7" w:rsidRPr="00C07C99">
        <w:rPr>
          <w:rFonts w:ascii="Candara" w:hAnsi="Candara"/>
        </w:rPr>
        <w:t xml:space="preserve"> millones</w:t>
      </w:r>
      <w:r w:rsidR="007B7878">
        <w:rPr>
          <w:rFonts w:ascii="Candara" w:hAnsi="Candara"/>
        </w:rPr>
        <w:t xml:space="preserve"> de pesos</w:t>
      </w:r>
      <w:r w:rsidR="006D4F89" w:rsidRPr="00C07C99">
        <w:rPr>
          <w:rFonts w:ascii="Candara" w:hAnsi="Candara"/>
        </w:rPr>
        <w:t xml:space="preserve"> de recursos fiscales</w:t>
      </w:r>
      <w:r w:rsidR="00457CF7" w:rsidRPr="00C07C99">
        <w:rPr>
          <w:rFonts w:ascii="Candara" w:hAnsi="Candara"/>
        </w:rPr>
        <w:t xml:space="preserve"> asignados a la investigación</w:t>
      </w:r>
      <w:r w:rsidR="007B7878">
        <w:rPr>
          <w:rFonts w:ascii="Candara" w:hAnsi="Candara"/>
        </w:rPr>
        <w:t>.</w:t>
      </w:r>
      <w:r w:rsidR="00457CF7" w:rsidRPr="00C07C99">
        <w:rPr>
          <w:rFonts w:ascii="Candara" w:hAnsi="Candara"/>
        </w:rPr>
        <w:t xml:space="preserve"> </w:t>
      </w:r>
      <w:r w:rsidR="00A42D52" w:rsidRPr="00C07C99">
        <w:rPr>
          <w:rFonts w:ascii="Candara" w:hAnsi="Candara"/>
        </w:rPr>
        <w:t>L</w:t>
      </w:r>
      <w:r w:rsidR="00457CF7" w:rsidRPr="00C07C99">
        <w:rPr>
          <w:rFonts w:ascii="Candara" w:hAnsi="Candara"/>
        </w:rPr>
        <w:t xml:space="preserve">a meta programada </w:t>
      </w:r>
      <w:r w:rsidR="00A42D52" w:rsidRPr="00C07C99">
        <w:rPr>
          <w:rFonts w:ascii="Candara" w:hAnsi="Candara"/>
        </w:rPr>
        <w:t xml:space="preserve">para este indicador fue de </w:t>
      </w:r>
      <w:r w:rsidR="00457CF7" w:rsidRPr="00C07C99">
        <w:rPr>
          <w:rFonts w:ascii="Candara" w:hAnsi="Candara"/>
        </w:rPr>
        <w:t xml:space="preserve">9%, por lo que se </w:t>
      </w:r>
      <w:r w:rsidR="00A42D52" w:rsidRPr="00C07C99">
        <w:rPr>
          <w:rFonts w:ascii="Candara" w:hAnsi="Candara"/>
        </w:rPr>
        <w:t>identifica un cumplimiento parcial del 78%</w:t>
      </w:r>
      <w:r w:rsidR="007B7878">
        <w:rPr>
          <w:rFonts w:ascii="Candara" w:hAnsi="Candara"/>
        </w:rPr>
        <w:t>. E</w:t>
      </w:r>
      <w:r w:rsidR="00A42D52" w:rsidRPr="00C07C99">
        <w:rPr>
          <w:rFonts w:ascii="Candara" w:hAnsi="Candara"/>
        </w:rPr>
        <w:t xml:space="preserve">sta situación se explica debido a que las convocatorias emitidas por las principales fuentes de financiamiento gubernamentales fueron pocas en el primer semestre del año, y la tendencia fue </w:t>
      </w:r>
      <w:r w:rsidR="007B7878">
        <w:rPr>
          <w:rFonts w:ascii="Candara" w:hAnsi="Candara"/>
        </w:rPr>
        <w:t>de</w:t>
      </w:r>
      <w:r w:rsidR="00A42D52" w:rsidRPr="00C07C99">
        <w:rPr>
          <w:rFonts w:ascii="Candara" w:hAnsi="Candara"/>
        </w:rPr>
        <w:t xml:space="preserve"> convocatorias para actividades de divulgación y de vocaciones científicas con montos de apoyo relativamente bajos, así como temáticas dirigidas a resolver problemáticas regionales y enfocadas a fortalecer cadenas productivas específicas y mantenimiento de equipo de laboratorios. Lo anterior redujo el margen de acción e involucramiento de las líneas de investigación de la institución, puesto que no fue sino hasta fin de año que se emitieron convocatorias amplias como ciencia de frontera y PRONACE/FORDECYT, donde una sola propuesta apoyada puede ir del millón a los cinco millones de pesos por año.</w:t>
      </w:r>
      <w:r w:rsidR="006D4F89" w:rsidRPr="00C07C99">
        <w:rPr>
          <w:rFonts w:ascii="Candara" w:hAnsi="Candara"/>
        </w:rPr>
        <w:t xml:space="preserve"> C</w:t>
      </w:r>
      <w:r w:rsidR="00A42D52" w:rsidRPr="00C07C99">
        <w:rPr>
          <w:rFonts w:ascii="Candara" w:hAnsi="Candara"/>
        </w:rPr>
        <w:t xml:space="preserve">abe mencionar que </w:t>
      </w:r>
      <w:r w:rsidR="007B7878">
        <w:rPr>
          <w:rFonts w:ascii="Candara" w:hAnsi="Candara"/>
        </w:rPr>
        <w:t>ECOSUR</w:t>
      </w:r>
      <w:r w:rsidR="00A42D52" w:rsidRPr="00C07C99">
        <w:rPr>
          <w:rFonts w:ascii="Candara" w:hAnsi="Candara"/>
        </w:rPr>
        <w:t xml:space="preserve"> </w:t>
      </w:r>
      <w:r w:rsidR="007B7878">
        <w:rPr>
          <w:rFonts w:ascii="Candara" w:hAnsi="Candara"/>
        </w:rPr>
        <w:t>participó ampliamente</w:t>
      </w:r>
      <w:r w:rsidR="00A42D52" w:rsidRPr="00C07C99">
        <w:rPr>
          <w:rFonts w:ascii="Candara" w:hAnsi="Candara"/>
        </w:rPr>
        <w:t xml:space="preserve"> en la convocatoria ciencias de frontera</w:t>
      </w:r>
      <w:r w:rsidR="007B7878">
        <w:rPr>
          <w:rFonts w:ascii="Candara" w:hAnsi="Candara"/>
        </w:rPr>
        <w:t>,</w:t>
      </w:r>
      <w:r w:rsidR="00A42D52" w:rsidRPr="00C07C99">
        <w:rPr>
          <w:rFonts w:ascii="Candara" w:hAnsi="Candara"/>
        </w:rPr>
        <w:t xml:space="preserve"> con 27 propuestas de responsabilidad y 31 de corresponsabilidad</w:t>
      </w:r>
      <w:r w:rsidR="007B7878">
        <w:rPr>
          <w:rFonts w:ascii="Candara" w:hAnsi="Candara"/>
        </w:rPr>
        <w:t xml:space="preserve">. </w:t>
      </w:r>
      <w:r w:rsidR="00F1674C">
        <w:rPr>
          <w:rFonts w:ascii="Candara" w:hAnsi="Candara"/>
        </w:rPr>
        <w:t xml:space="preserve">Igualmente, </w:t>
      </w:r>
      <w:r w:rsidR="00F1674C" w:rsidRPr="00C07C99">
        <w:rPr>
          <w:rFonts w:ascii="Candara" w:hAnsi="Candara"/>
        </w:rPr>
        <w:t>se</w:t>
      </w:r>
      <w:r w:rsidR="007B7878">
        <w:rPr>
          <w:rFonts w:ascii="Candara" w:hAnsi="Candara"/>
        </w:rPr>
        <w:t xml:space="preserve"> </w:t>
      </w:r>
      <w:bookmarkStart w:id="0" w:name="_GoBack"/>
      <w:bookmarkEnd w:id="0"/>
      <w:r w:rsidR="007B7878">
        <w:rPr>
          <w:rFonts w:ascii="Candara" w:hAnsi="Candara"/>
        </w:rPr>
        <w:t>está</w:t>
      </w:r>
      <w:r w:rsidR="00A42D52" w:rsidRPr="00C07C99">
        <w:rPr>
          <w:rFonts w:ascii="Candara" w:hAnsi="Candara"/>
        </w:rPr>
        <w:t xml:space="preserve"> teniendo una importante participación en las propuestas PRONACE/FORDECYT, por lo que </w:t>
      </w:r>
      <w:r w:rsidR="007B7878">
        <w:rPr>
          <w:rFonts w:ascii="Candara" w:hAnsi="Candara"/>
        </w:rPr>
        <w:t>se espera</w:t>
      </w:r>
      <w:r w:rsidR="00A42D52" w:rsidRPr="00C07C99">
        <w:rPr>
          <w:rFonts w:ascii="Candara" w:hAnsi="Candara"/>
        </w:rPr>
        <w:t xml:space="preserve"> que los resultados de 2020 </w:t>
      </w:r>
      <w:r w:rsidR="006D4F89" w:rsidRPr="00C07C99">
        <w:rPr>
          <w:rFonts w:ascii="Candara" w:hAnsi="Candara"/>
        </w:rPr>
        <w:t>favorezcan más</w:t>
      </w:r>
      <w:r w:rsidR="007B7878">
        <w:rPr>
          <w:rFonts w:ascii="Candara" w:hAnsi="Candara"/>
        </w:rPr>
        <w:t xml:space="preserve"> a la institución</w:t>
      </w:r>
      <w:r w:rsidR="00A42D52" w:rsidRPr="00C07C99">
        <w:rPr>
          <w:rFonts w:ascii="Candara" w:hAnsi="Candara"/>
        </w:rPr>
        <w:t>.</w:t>
      </w:r>
    </w:p>
    <w:p w14:paraId="54D11536" w14:textId="77777777" w:rsidR="00D207E7" w:rsidRDefault="00D207E7" w:rsidP="00002665">
      <w:pPr>
        <w:spacing w:after="0" w:line="240" w:lineRule="auto"/>
        <w:rPr>
          <w:rFonts w:ascii="Candara" w:hAnsi="Candara"/>
          <w:b/>
        </w:rPr>
      </w:pPr>
    </w:p>
    <w:p w14:paraId="64FEC046" w14:textId="77777777" w:rsidR="00D207E7" w:rsidRDefault="00D207E7" w:rsidP="00002665">
      <w:pPr>
        <w:spacing w:after="0" w:line="240" w:lineRule="auto"/>
        <w:rPr>
          <w:rFonts w:ascii="Candara" w:hAnsi="Candara"/>
          <w:b/>
        </w:rPr>
      </w:pPr>
    </w:p>
    <w:p w14:paraId="07378597" w14:textId="1FCBB580" w:rsidR="007D0B9D" w:rsidRPr="00C07C99" w:rsidRDefault="007D0B9D" w:rsidP="00002665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Índice de sostenibilidad económica</w:t>
      </w:r>
    </w:p>
    <w:p w14:paraId="3D99E807" w14:textId="6C71A5E9" w:rsidR="007D0B9D" w:rsidRPr="00C07C99" w:rsidRDefault="007D0B9D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="00F14CC2" w:rsidRPr="00C07C99">
        <w:rPr>
          <w:rFonts w:ascii="Candara" w:hAnsi="Candara"/>
        </w:rPr>
        <w:t xml:space="preserve"> </w:t>
      </w:r>
      <w:r w:rsidR="00647CA5" w:rsidRPr="00C07C99">
        <w:rPr>
          <w:rFonts w:ascii="Candara" w:hAnsi="Candara"/>
        </w:rPr>
        <w:t>79</w:t>
      </w:r>
      <w:r w:rsidRPr="00C07C99">
        <w:rPr>
          <w:rFonts w:ascii="Candara" w:hAnsi="Candara"/>
        </w:rPr>
        <w:t>%</w:t>
      </w:r>
    </w:p>
    <w:p w14:paraId="199484C7" w14:textId="37D35101" w:rsidR="008228F2" w:rsidRPr="00C07C99" w:rsidRDefault="007D0B9D" w:rsidP="00BB6A5B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 xml:space="preserve">Este indicador proporciona el porcentaje </w:t>
      </w:r>
      <w:r w:rsidR="007B7878">
        <w:rPr>
          <w:rFonts w:ascii="Candara" w:hAnsi="Candara"/>
        </w:rPr>
        <w:t>de</w:t>
      </w:r>
      <w:r w:rsidRPr="00C07C99">
        <w:rPr>
          <w:rFonts w:ascii="Candara" w:hAnsi="Candara"/>
        </w:rPr>
        <w:t xml:space="preserve"> recursos propios con respecto al presupuesto total del Centro. </w:t>
      </w:r>
      <w:r w:rsidR="00F14CC2" w:rsidRPr="00C07C99">
        <w:rPr>
          <w:rFonts w:ascii="Candara" w:hAnsi="Candara"/>
        </w:rPr>
        <w:t xml:space="preserve">En el periodo </w:t>
      </w:r>
      <w:r w:rsidR="00856221" w:rsidRPr="00C07C99">
        <w:rPr>
          <w:rFonts w:ascii="Candara" w:hAnsi="Candara"/>
        </w:rPr>
        <w:t>que se reporta</w:t>
      </w:r>
      <w:r w:rsidR="00F14CC2" w:rsidRPr="00C07C99">
        <w:rPr>
          <w:rFonts w:ascii="Candara" w:hAnsi="Candara"/>
        </w:rPr>
        <w:t xml:space="preserve"> se captaron </w:t>
      </w:r>
      <w:r w:rsidR="00A42D52" w:rsidRPr="00C07C99">
        <w:rPr>
          <w:rFonts w:ascii="Candara" w:hAnsi="Candara"/>
        </w:rPr>
        <w:t>31.78</w:t>
      </w:r>
      <w:r w:rsidR="00F14CC2" w:rsidRPr="00C07C99">
        <w:rPr>
          <w:rFonts w:ascii="Candara" w:hAnsi="Candara"/>
        </w:rPr>
        <w:t xml:space="preserve"> millones de pesos por concepto de ingresos propios, que en relación </w:t>
      </w:r>
      <w:r w:rsidR="007B7878">
        <w:rPr>
          <w:rFonts w:ascii="Candara" w:hAnsi="Candara"/>
        </w:rPr>
        <w:t>con el</w:t>
      </w:r>
      <w:r w:rsidR="00F14CC2" w:rsidRPr="00C07C99">
        <w:rPr>
          <w:rFonts w:ascii="Candara" w:hAnsi="Candara"/>
        </w:rPr>
        <w:t xml:space="preserve"> total de </w:t>
      </w:r>
      <w:r w:rsidR="00A42D52" w:rsidRPr="00C07C99">
        <w:rPr>
          <w:rFonts w:ascii="Candara" w:hAnsi="Candara"/>
        </w:rPr>
        <w:t>381.55</w:t>
      </w:r>
      <w:r w:rsidR="00F14CC2" w:rsidRPr="00C07C99">
        <w:rPr>
          <w:rFonts w:ascii="Candara" w:hAnsi="Candara"/>
        </w:rPr>
        <w:t xml:space="preserve"> millones recibidos, representa el 8%. </w:t>
      </w:r>
      <w:r w:rsidR="006A2394" w:rsidRPr="00C07C99">
        <w:rPr>
          <w:rFonts w:ascii="Candara" w:hAnsi="Candara"/>
        </w:rPr>
        <w:t>Ya se expuso en el indicador “Índice de sostenibilidad económica para la investigación” las complicaciones que se presentaron en la captación de recursos, mismas que también afectaron a este indicador</w:t>
      </w:r>
      <w:r w:rsidR="00972BD0" w:rsidRPr="00C07C99">
        <w:rPr>
          <w:rFonts w:ascii="Candara" w:hAnsi="Candara"/>
        </w:rPr>
        <w:t xml:space="preserve">, </w:t>
      </w:r>
      <w:r w:rsidR="00B4029D" w:rsidRPr="00C07C99">
        <w:rPr>
          <w:rFonts w:ascii="Candara" w:hAnsi="Candara"/>
        </w:rPr>
        <w:t xml:space="preserve">que </w:t>
      </w:r>
      <w:r w:rsidR="007B7878">
        <w:rPr>
          <w:rFonts w:ascii="Candara" w:hAnsi="Candara"/>
        </w:rPr>
        <w:t xml:space="preserve">alcanzó 79% de la meta anual planeada </w:t>
      </w:r>
      <w:r w:rsidR="00B4029D" w:rsidRPr="00C07C99">
        <w:rPr>
          <w:rFonts w:ascii="Candara" w:hAnsi="Candara"/>
        </w:rPr>
        <w:t>(10%)</w:t>
      </w:r>
      <w:r w:rsidR="006A2394" w:rsidRPr="00C07C99">
        <w:rPr>
          <w:rFonts w:ascii="Candara" w:hAnsi="Candara"/>
        </w:rPr>
        <w:t>.</w:t>
      </w:r>
    </w:p>
    <w:p w14:paraId="72EB532F" w14:textId="65BA8298" w:rsidR="007D0B9D" w:rsidRPr="00C07C99" w:rsidRDefault="007D0B9D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Actividades de divulgación</w:t>
      </w:r>
      <w:r w:rsidR="00AF706E" w:rsidRPr="00C07C99">
        <w:rPr>
          <w:rFonts w:ascii="Candara" w:hAnsi="Candara"/>
          <w:b/>
        </w:rPr>
        <w:t xml:space="preserve"> por personal de C</w:t>
      </w:r>
      <w:r w:rsidR="00972BD0" w:rsidRPr="00C07C99">
        <w:rPr>
          <w:rFonts w:ascii="Candara" w:hAnsi="Candara"/>
          <w:b/>
        </w:rPr>
        <w:t xml:space="preserve">iencia </w:t>
      </w:r>
      <w:r w:rsidR="00AF706E" w:rsidRPr="00C07C99">
        <w:rPr>
          <w:rFonts w:ascii="Candara" w:hAnsi="Candara"/>
          <w:b/>
        </w:rPr>
        <w:t>y</w:t>
      </w:r>
      <w:r w:rsidR="00972BD0" w:rsidRPr="00C07C99">
        <w:rPr>
          <w:rFonts w:ascii="Candara" w:hAnsi="Candara"/>
          <w:b/>
        </w:rPr>
        <w:t xml:space="preserve"> </w:t>
      </w:r>
      <w:r w:rsidR="00AF706E" w:rsidRPr="00C07C99">
        <w:rPr>
          <w:rFonts w:ascii="Candara" w:hAnsi="Candara"/>
          <w:b/>
        </w:rPr>
        <w:t>T</w:t>
      </w:r>
      <w:r w:rsidR="00972BD0" w:rsidRPr="00C07C99">
        <w:rPr>
          <w:rFonts w:ascii="Candara" w:hAnsi="Candara"/>
          <w:b/>
        </w:rPr>
        <w:t>ecnología</w:t>
      </w:r>
    </w:p>
    <w:p w14:paraId="2B3235AA" w14:textId="3B3B152C" w:rsidR="007D0B9D" w:rsidRPr="00C07C99" w:rsidRDefault="007D0B9D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Pr="00C07C99">
        <w:rPr>
          <w:rFonts w:ascii="Candara" w:hAnsi="Candara"/>
        </w:rPr>
        <w:t xml:space="preserve"> </w:t>
      </w:r>
      <w:r w:rsidR="00647CA5" w:rsidRPr="00C07C99">
        <w:rPr>
          <w:rFonts w:ascii="Candara" w:hAnsi="Candara"/>
        </w:rPr>
        <w:t>100</w:t>
      </w:r>
      <w:r w:rsidRPr="00C07C99">
        <w:rPr>
          <w:rFonts w:ascii="Candara" w:hAnsi="Candara"/>
        </w:rPr>
        <w:t>%</w:t>
      </w:r>
    </w:p>
    <w:p w14:paraId="404186F6" w14:textId="4A76C026" w:rsidR="007D0B9D" w:rsidRPr="00C07C99" w:rsidRDefault="007D0B9D" w:rsidP="00527F2F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 xml:space="preserve">Este indicador identifica la participación </w:t>
      </w:r>
      <w:r w:rsidRPr="00C07C99">
        <w:rPr>
          <w:rFonts w:ascii="Candara" w:hAnsi="Candara"/>
          <w:i/>
        </w:rPr>
        <w:t>per cápita</w:t>
      </w:r>
      <w:r w:rsidRPr="00C07C99">
        <w:rPr>
          <w:rFonts w:ascii="Candara" w:hAnsi="Candara"/>
        </w:rPr>
        <w:t xml:space="preserve"> de</w:t>
      </w:r>
      <w:r w:rsidR="00527F2F">
        <w:rPr>
          <w:rFonts w:ascii="Candara" w:hAnsi="Candara"/>
        </w:rPr>
        <w:t xml:space="preserve">l </w:t>
      </w:r>
      <w:r w:rsidRPr="00C07C99">
        <w:rPr>
          <w:rFonts w:ascii="Candara" w:hAnsi="Candara"/>
        </w:rPr>
        <w:t xml:space="preserve">personal de ciencia y tecnología en las actividades de divulgación dirigidas al público en general. </w:t>
      </w:r>
      <w:r w:rsidR="00AF706E" w:rsidRPr="00C07C99">
        <w:rPr>
          <w:rFonts w:ascii="Candara" w:hAnsi="Candara"/>
        </w:rPr>
        <w:t xml:space="preserve">Durante el </w:t>
      </w:r>
      <w:r w:rsidR="00C727E3" w:rsidRPr="00C07C99">
        <w:rPr>
          <w:rFonts w:ascii="Candara" w:hAnsi="Candara"/>
        </w:rPr>
        <w:t xml:space="preserve">ejercicio </w:t>
      </w:r>
      <w:r w:rsidR="00AF706E" w:rsidRPr="00C07C99">
        <w:rPr>
          <w:rFonts w:ascii="Candara" w:hAnsi="Candara"/>
        </w:rPr>
        <w:t xml:space="preserve">2019 se realizaron </w:t>
      </w:r>
      <w:r w:rsidR="00C727E3" w:rsidRPr="00C07C99">
        <w:rPr>
          <w:rFonts w:ascii="Candara" w:hAnsi="Candara"/>
        </w:rPr>
        <w:t>490</w:t>
      </w:r>
      <w:r w:rsidR="00AF706E" w:rsidRPr="00C07C99">
        <w:rPr>
          <w:rFonts w:ascii="Candara" w:hAnsi="Candara"/>
        </w:rPr>
        <w:t xml:space="preserve"> actividades. </w:t>
      </w:r>
      <w:r w:rsidRPr="00C07C99">
        <w:rPr>
          <w:rFonts w:ascii="Candara" w:hAnsi="Candara"/>
        </w:rPr>
        <w:t xml:space="preserve">El valor alcanzado en este indicador es de </w:t>
      </w:r>
      <w:r w:rsidR="00457EDC" w:rsidRPr="00C07C99">
        <w:rPr>
          <w:rFonts w:ascii="Candara" w:hAnsi="Candara"/>
        </w:rPr>
        <w:t>1.</w:t>
      </w:r>
      <w:r w:rsidR="00C727E3" w:rsidRPr="00C07C99">
        <w:rPr>
          <w:rFonts w:ascii="Candara" w:hAnsi="Candara"/>
        </w:rPr>
        <w:t>69</w:t>
      </w:r>
      <w:r w:rsidRPr="00C07C99">
        <w:rPr>
          <w:rFonts w:ascii="Candara" w:hAnsi="Candara"/>
        </w:rPr>
        <w:t xml:space="preserve"> actividades por académico, </w:t>
      </w:r>
      <w:r w:rsidR="00457EDC" w:rsidRPr="00C07C99">
        <w:rPr>
          <w:rFonts w:ascii="Candara" w:hAnsi="Candara"/>
        </w:rPr>
        <w:t xml:space="preserve">que en relación </w:t>
      </w:r>
      <w:r w:rsidR="00527F2F">
        <w:rPr>
          <w:rFonts w:ascii="Candara" w:hAnsi="Candara"/>
        </w:rPr>
        <w:t>con</w:t>
      </w:r>
      <w:r w:rsidR="00457EDC" w:rsidRPr="00C07C99">
        <w:rPr>
          <w:rFonts w:ascii="Candara" w:hAnsi="Candara"/>
        </w:rPr>
        <w:t xml:space="preserve"> la meta anual de 1.34, </w:t>
      </w:r>
      <w:r w:rsidRPr="00C07C99">
        <w:rPr>
          <w:rFonts w:ascii="Candara" w:hAnsi="Candara"/>
        </w:rPr>
        <w:t xml:space="preserve">representa </w:t>
      </w:r>
      <w:r w:rsidR="00C727E3" w:rsidRPr="00C07C99">
        <w:rPr>
          <w:rFonts w:ascii="Candara" w:hAnsi="Candara"/>
        </w:rPr>
        <w:t xml:space="preserve">más del 100% </w:t>
      </w:r>
      <w:r w:rsidRPr="00C07C99">
        <w:rPr>
          <w:rFonts w:ascii="Candara" w:hAnsi="Candara"/>
        </w:rPr>
        <w:t xml:space="preserve">de avance. </w:t>
      </w:r>
    </w:p>
    <w:p w14:paraId="59B33F13" w14:textId="77777777" w:rsidR="007D0B9D" w:rsidRPr="00C07C99" w:rsidRDefault="007D0B9D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Propiedad intelectual</w:t>
      </w:r>
    </w:p>
    <w:p w14:paraId="666E5CDB" w14:textId="1D2F2E1D" w:rsidR="007D0B9D" w:rsidRPr="00C07C99" w:rsidRDefault="007D0B9D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="00647CA5" w:rsidRPr="00C07C99">
        <w:rPr>
          <w:rFonts w:ascii="Candara" w:hAnsi="Candara"/>
        </w:rPr>
        <w:t xml:space="preserve"> 100</w:t>
      </w:r>
      <w:r w:rsidRPr="00C07C99">
        <w:rPr>
          <w:rFonts w:ascii="Candara" w:hAnsi="Candara"/>
        </w:rPr>
        <w:t>%</w:t>
      </w:r>
    </w:p>
    <w:p w14:paraId="53B1FCB0" w14:textId="0378F563" w:rsidR="005C3A3C" w:rsidRPr="00C07C99" w:rsidRDefault="007D0B9D" w:rsidP="00527F2F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 xml:space="preserve">Este indicador </w:t>
      </w:r>
      <w:r w:rsidR="00A5220A">
        <w:rPr>
          <w:rFonts w:ascii="Candara" w:hAnsi="Candara"/>
        </w:rPr>
        <w:t>identifica</w:t>
      </w:r>
      <w:r w:rsidRPr="00C07C99">
        <w:rPr>
          <w:rFonts w:ascii="Candara" w:hAnsi="Candara"/>
        </w:rPr>
        <w:t xml:space="preserve"> el avance en el registro de los derechos de autor otorgados al Centro por </w:t>
      </w:r>
      <w:r w:rsidRPr="00C07C99">
        <w:rPr>
          <w:rFonts w:ascii="Candara" w:hAnsi="Candara" w:cs="Candara"/>
          <w:color w:val="000000"/>
          <w:lang w:val="es-ES"/>
        </w:rPr>
        <w:t>el Instituto Nacional de Derechos de Autor (INDAUTOR</w:t>
      </w:r>
      <w:r w:rsidR="00373B89" w:rsidRPr="00C07C99">
        <w:rPr>
          <w:rFonts w:ascii="Candara" w:hAnsi="Candara" w:cs="Candara"/>
          <w:color w:val="000000"/>
          <w:lang w:val="es-ES"/>
        </w:rPr>
        <w:t>)</w:t>
      </w:r>
      <w:r w:rsidRPr="00C07C99">
        <w:rPr>
          <w:rFonts w:ascii="Candara" w:hAnsi="Candara"/>
        </w:rPr>
        <w:t xml:space="preserve">. </w:t>
      </w:r>
      <w:r w:rsidR="004A5404" w:rsidRPr="00C07C99">
        <w:rPr>
          <w:rFonts w:ascii="Candara" w:hAnsi="Candara"/>
        </w:rPr>
        <w:t>En el periodo enero - diciembre</w:t>
      </w:r>
      <w:r w:rsidR="009715FD" w:rsidRPr="00C07C99">
        <w:rPr>
          <w:rFonts w:ascii="Candara" w:hAnsi="Candara"/>
        </w:rPr>
        <w:t xml:space="preserve"> de 2019</w:t>
      </w:r>
      <w:r w:rsidR="004A5039" w:rsidRPr="00C07C99">
        <w:rPr>
          <w:rFonts w:ascii="Candara" w:hAnsi="Candara"/>
        </w:rPr>
        <w:t xml:space="preserve"> se </w:t>
      </w:r>
      <w:r w:rsidR="00A5220A">
        <w:rPr>
          <w:rFonts w:ascii="Candara" w:hAnsi="Candara"/>
        </w:rPr>
        <w:t>registraron</w:t>
      </w:r>
      <w:r w:rsidR="004A5039" w:rsidRPr="00C07C99">
        <w:rPr>
          <w:rFonts w:ascii="Candara" w:hAnsi="Candara"/>
        </w:rPr>
        <w:t xml:space="preserve"> </w:t>
      </w:r>
      <w:r w:rsidR="005C3A3C" w:rsidRPr="00C07C99">
        <w:rPr>
          <w:rFonts w:ascii="Candara" w:hAnsi="Candara"/>
        </w:rPr>
        <w:t>22</w:t>
      </w:r>
      <w:r w:rsidR="004A5039" w:rsidRPr="00C07C99">
        <w:rPr>
          <w:rFonts w:ascii="Candara" w:hAnsi="Candara"/>
        </w:rPr>
        <w:t xml:space="preserve"> obras</w:t>
      </w:r>
      <w:r w:rsidR="00504EF7" w:rsidRPr="00C07C99">
        <w:rPr>
          <w:rFonts w:ascii="Candara" w:hAnsi="Candara"/>
        </w:rPr>
        <w:t>, valor por encima de la meta anual (18)</w:t>
      </w:r>
      <w:r w:rsidR="005C3A3C" w:rsidRPr="00C07C99">
        <w:rPr>
          <w:rFonts w:ascii="Candara" w:hAnsi="Candara"/>
        </w:rPr>
        <w:t xml:space="preserve">. El índice alcanzado en este indicador </w:t>
      </w:r>
      <w:r w:rsidR="00002665" w:rsidRPr="00C07C99">
        <w:rPr>
          <w:rFonts w:ascii="Candara" w:hAnsi="Candara"/>
        </w:rPr>
        <w:t xml:space="preserve">fue </w:t>
      </w:r>
      <w:r w:rsidR="005C3A3C" w:rsidRPr="00C07C99">
        <w:rPr>
          <w:rFonts w:ascii="Candara" w:hAnsi="Candara"/>
        </w:rPr>
        <w:t xml:space="preserve">de 1.00, que en relación </w:t>
      </w:r>
      <w:r w:rsidR="00A5220A">
        <w:rPr>
          <w:rFonts w:ascii="Candara" w:hAnsi="Candara"/>
        </w:rPr>
        <w:t>con</w:t>
      </w:r>
      <w:r w:rsidR="005C3A3C" w:rsidRPr="00C07C99">
        <w:rPr>
          <w:rFonts w:ascii="Candara" w:hAnsi="Candara"/>
        </w:rPr>
        <w:t xml:space="preserve"> la meta anual de 0.82, representa más del 100% de avance.</w:t>
      </w:r>
    </w:p>
    <w:p w14:paraId="0CC0DA52" w14:textId="77777777" w:rsidR="007D0B9D" w:rsidRPr="00C07C99" w:rsidRDefault="007D0B9D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Transferencia de conocimiento</w:t>
      </w:r>
    </w:p>
    <w:p w14:paraId="1A287B77" w14:textId="0B7782B4" w:rsidR="007D0B9D" w:rsidRPr="00C07C99" w:rsidRDefault="007D0B9D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Pr="00C07C99">
        <w:rPr>
          <w:rFonts w:ascii="Candara" w:hAnsi="Candara"/>
        </w:rPr>
        <w:t xml:space="preserve"> </w:t>
      </w:r>
      <w:r w:rsidR="00647CA5" w:rsidRPr="00C07C99">
        <w:rPr>
          <w:rFonts w:ascii="Candara" w:hAnsi="Candara"/>
        </w:rPr>
        <w:t>100</w:t>
      </w:r>
      <w:r w:rsidRPr="00C07C99">
        <w:rPr>
          <w:rFonts w:ascii="Candara" w:hAnsi="Candara"/>
        </w:rPr>
        <w:t>%</w:t>
      </w:r>
    </w:p>
    <w:p w14:paraId="75AD2EE3" w14:textId="03B15A8F" w:rsidR="00504EF7" w:rsidRPr="00C07C99" w:rsidRDefault="007D0B9D" w:rsidP="00BB6A5B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 xml:space="preserve">Este indicador </w:t>
      </w:r>
      <w:r w:rsidR="00A5220A">
        <w:rPr>
          <w:rFonts w:ascii="Candara" w:hAnsi="Candara"/>
        </w:rPr>
        <w:t>representa</w:t>
      </w:r>
      <w:r w:rsidRPr="00C07C99">
        <w:rPr>
          <w:rFonts w:ascii="Candara" w:hAnsi="Candara"/>
        </w:rPr>
        <w:t xml:space="preserve"> el avance periódico en la transmisión de conocimiento y tecnología mediante los contratos y convenios que se firman para tal fin. </w:t>
      </w:r>
      <w:r w:rsidR="00ED75C9" w:rsidRPr="00C07C99">
        <w:rPr>
          <w:rFonts w:ascii="Candara" w:hAnsi="Candara"/>
        </w:rPr>
        <w:t>En</w:t>
      </w:r>
      <w:r w:rsidRPr="00C07C99">
        <w:rPr>
          <w:rFonts w:ascii="Candara" w:hAnsi="Candara"/>
        </w:rPr>
        <w:t xml:space="preserve"> el </w:t>
      </w:r>
      <w:r w:rsidR="008255A6" w:rsidRPr="00C07C99">
        <w:rPr>
          <w:rFonts w:ascii="Candara" w:hAnsi="Candara"/>
        </w:rPr>
        <w:t xml:space="preserve">ejercicio </w:t>
      </w:r>
      <w:r w:rsidR="00AD3BDB" w:rsidRPr="00C07C99">
        <w:rPr>
          <w:rFonts w:ascii="Candara" w:hAnsi="Candara"/>
        </w:rPr>
        <w:t>2019</w:t>
      </w:r>
      <w:r w:rsidRPr="00C07C99">
        <w:rPr>
          <w:rFonts w:ascii="Candara" w:hAnsi="Candara"/>
        </w:rPr>
        <w:t xml:space="preserve"> se </w:t>
      </w:r>
      <w:r w:rsidR="00856221" w:rsidRPr="00C07C99">
        <w:rPr>
          <w:rFonts w:ascii="Candara" w:hAnsi="Candara"/>
        </w:rPr>
        <w:t xml:space="preserve">llegó a </w:t>
      </w:r>
      <w:r w:rsidR="00DF28A8" w:rsidRPr="00C07C99">
        <w:rPr>
          <w:rFonts w:ascii="Candara" w:hAnsi="Candara"/>
        </w:rPr>
        <w:t>2</w:t>
      </w:r>
      <w:r w:rsidR="008255A6" w:rsidRPr="00C07C99">
        <w:rPr>
          <w:rFonts w:ascii="Candara" w:hAnsi="Candara"/>
        </w:rPr>
        <w:t>9</w:t>
      </w:r>
      <w:r w:rsidR="00DF28A8" w:rsidRPr="00C07C99">
        <w:rPr>
          <w:rFonts w:ascii="Candara" w:hAnsi="Candara"/>
        </w:rPr>
        <w:t xml:space="preserve"> contratos y/o convenios firmados vigentes</w:t>
      </w:r>
      <w:r w:rsidR="00504EF7" w:rsidRPr="00C07C99">
        <w:rPr>
          <w:rFonts w:ascii="Candara" w:hAnsi="Candara"/>
        </w:rPr>
        <w:t xml:space="preserve">, valor superior a </w:t>
      </w:r>
      <w:r w:rsidR="00DF28A8" w:rsidRPr="00C07C99">
        <w:rPr>
          <w:rFonts w:ascii="Candara" w:hAnsi="Candara"/>
        </w:rPr>
        <w:t xml:space="preserve">la meta </w:t>
      </w:r>
      <w:r w:rsidR="00002665" w:rsidRPr="00C07C99">
        <w:rPr>
          <w:rFonts w:ascii="Candara" w:hAnsi="Candara"/>
        </w:rPr>
        <w:t xml:space="preserve">anual de </w:t>
      </w:r>
      <w:r w:rsidR="00DF28A8" w:rsidRPr="00C07C99">
        <w:rPr>
          <w:rFonts w:ascii="Candara" w:hAnsi="Candara"/>
        </w:rPr>
        <w:t>25</w:t>
      </w:r>
      <w:r w:rsidR="00504EF7" w:rsidRPr="00C07C99">
        <w:rPr>
          <w:rFonts w:ascii="Candara" w:hAnsi="Candara"/>
        </w:rPr>
        <w:t xml:space="preserve">. El índice alcanzado en este indicador fue de </w:t>
      </w:r>
      <w:r w:rsidR="001F1809" w:rsidRPr="00C07C99">
        <w:rPr>
          <w:rFonts w:ascii="Candara" w:hAnsi="Candara"/>
        </w:rPr>
        <w:t>0.9</w:t>
      </w:r>
      <w:r w:rsidR="00504EF7" w:rsidRPr="00C07C99">
        <w:rPr>
          <w:rFonts w:ascii="Candara" w:hAnsi="Candara"/>
        </w:rPr>
        <w:t xml:space="preserve">1, </w:t>
      </w:r>
      <w:r w:rsidR="001F1809" w:rsidRPr="00C07C99">
        <w:rPr>
          <w:rFonts w:ascii="Candara" w:hAnsi="Candara"/>
        </w:rPr>
        <w:t xml:space="preserve">mientras que </w:t>
      </w:r>
      <w:r w:rsidR="00504EF7" w:rsidRPr="00C07C99">
        <w:rPr>
          <w:rFonts w:ascii="Candara" w:hAnsi="Candara"/>
        </w:rPr>
        <w:t xml:space="preserve">la meta anual </w:t>
      </w:r>
      <w:r w:rsidR="001F1809" w:rsidRPr="00C07C99">
        <w:rPr>
          <w:rFonts w:ascii="Candara" w:hAnsi="Candara"/>
        </w:rPr>
        <w:t xml:space="preserve">fue </w:t>
      </w:r>
      <w:r w:rsidR="00504EF7" w:rsidRPr="00C07C99">
        <w:rPr>
          <w:rFonts w:ascii="Candara" w:hAnsi="Candara"/>
        </w:rPr>
        <w:t>0.</w:t>
      </w:r>
      <w:r w:rsidR="001F1809" w:rsidRPr="00C07C99">
        <w:rPr>
          <w:rFonts w:ascii="Candara" w:hAnsi="Candara"/>
        </w:rPr>
        <w:t>7</w:t>
      </w:r>
      <w:r w:rsidR="00504EF7" w:rsidRPr="00C07C99">
        <w:rPr>
          <w:rFonts w:ascii="Candara" w:hAnsi="Candara"/>
        </w:rPr>
        <w:t xml:space="preserve">8, </w:t>
      </w:r>
      <w:r w:rsidR="001F1809" w:rsidRPr="00C07C99">
        <w:rPr>
          <w:rFonts w:ascii="Candara" w:hAnsi="Candara"/>
        </w:rPr>
        <w:t>esto se significa un avance superior a</w:t>
      </w:r>
      <w:r w:rsidR="00504EF7" w:rsidRPr="00C07C99">
        <w:rPr>
          <w:rFonts w:ascii="Candara" w:hAnsi="Candara"/>
        </w:rPr>
        <w:t>l 100%.</w:t>
      </w:r>
    </w:p>
    <w:p w14:paraId="6655B67A" w14:textId="74E0D634" w:rsidR="007D0B9D" w:rsidRPr="00C07C99" w:rsidRDefault="007D0B9D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Proyectos interinstitucionales</w:t>
      </w:r>
    </w:p>
    <w:p w14:paraId="21AD6B0F" w14:textId="77777777" w:rsidR="007D0B9D" w:rsidRPr="00C07C99" w:rsidRDefault="007D0B9D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Pr="00C07C99">
        <w:rPr>
          <w:rFonts w:ascii="Candara" w:hAnsi="Candara"/>
        </w:rPr>
        <w:t xml:space="preserve"> 100%</w:t>
      </w:r>
    </w:p>
    <w:p w14:paraId="14F0D808" w14:textId="636F9302" w:rsidR="007D0B9D" w:rsidRPr="00C07C99" w:rsidRDefault="007D0B9D" w:rsidP="00BB6A5B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>Este indicador cuantifica la participación en proyectos de investigación, desarrollo tecnológico y</w:t>
      </w:r>
      <w:r w:rsidR="00A5220A">
        <w:rPr>
          <w:rFonts w:ascii="Candara" w:hAnsi="Candara"/>
        </w:rPr>
        <w:t xml:space="preserve"> </w:t>
      </w:r>
      <w:r w:rsidRPr="00C07C99">
        <w:rPr>
          <w:rFonts w:ascii="Candara" w:hAnsi="Candara"/>
        </w:rPr>
        <w:t>(o) innovación que se desarrollan en cooperación con otras instituciones u organizaciones públicas, privadas o sociales</w:t>
      </w:r>
      <w:r w:rsidR="000D714C" w:rsidRPr="00C07C99">
        <w:rPr>
          <w:rFonts w:ascii="Candara" w:hAnsi="Candara"/>
        </w:rPr>
        <w:t xml:space="preserve">. </w:t>
      </w:r>
      <w:r w:rsidR="00002665" w:rsidRPr="00C07C99">
        <w:rPr>
          <w:rFonts w:ascii="Candara" w:hAnsi="Candara"/>
        </w:rPr>
        <w:t xml:space="preserve">En </w:t>
      </w:r>
      <w:r w:rsidR="000D714C" w:rsidRPr="00C07C99">
        <w:rPr>
          <w:rFonts w:ascii="Candara" w:hAnsi="Candara"/>
        </w:rPr>
        <w:t>el periodo enero</w:t>
      </w:r>
      <w:r w:rsidR="006E19E7" w:rsidRPr="00C07C99">
        <w:rPr>
          <w:rFonts w:ascii="Candara" w:hAnsi="Candara"/>
        </w:rPr>
        <w:t xml:space="preserve"> - </w:t>
      </w:r>
      <w:r w:rsidR="00A42D52" w:rsidRPr="00C07C99">
        <w:rPr>
          <w:rFonts w:ascii="Candara" w:hAnsi="Candara"/>
        </w:rPr>
        <w:t>diciembre</w:t>
      </w:r>
      <w:r w:rsidR="000D714C" w:rsidRPr="00C07C99">
        <w:rPr>
          <w:rFonts w:ascii="Candara" w:hAnsi="Candara"/>
        </w:rPr>
        <w:t xml:space="preserve"> de 2019 se </w:t>
      </w:r>
      <w:r w:rsidR="008255A6" w:rsidRPr="00C07C99">
        <w:rPr>
          <w:rFonts w:ascii="Candara" w:hAnsi="Candara"/>
        </w:rPr>
        <w:t>llegó a la cifra de 5</w:t>
      </w:r>
      <w:r w:rsidR="000D714C" w:rsidRPr="00C07C99">
        <w:rPr>
          <w:rFonts w:ascii="Candara" w:hAnsi="Candara"/>
        </w:rPr>
        <w:t xml:space="preserve">4 proyectos interinstitucionales, </w:t>
      </w:r>
      <w:r w:rsidR="00002665" w:rsidRPr="00C07C99">
        <w:rPr>
          <w:rFonts w:ascii="Candara" w:hAnsi="Candara"/>
        </w:rPr>
        <w:t>lo cual posicionó el indicador en 0.86</w:t>
      </w:r>
      <w:r w:rsidR="00A5220A">
        <w:rPr>
          <w:rFonts w:ascii="Candara" w:hAnsi="Candara"/>
        </w:rPr>
        <w:t>. S</w:t>
      </w:r>
      <w:r w:rsidR="000D714C" w:rsidRPr="00C07C99">
        <w:rPr>
          <w:rFonts w:ascii="Candara" w:hAnsi="Candara"/>
        </w:rPr>
        <w:t xml:space="preserve">iendo la meta anual </w:t>
      </w:r>
      <w:r w:rsidR="00002665" w:rsidRPr="00C07C99">
        <w:rPr>
          <w:rFonts w:ascii="Candara" w:hAnsi="Candara"/>
        </w:rPr>
        <w:t>0.70</w:t>
      </w:r>
      <w:r w:rsidR="006E19E7" w:rsidRPr="00C07C99">
        <w:rPr>
          <w:rFonts w:ascii="Candara" w:hAnsi="Candara"/>
        </w:rPr>
        <w:t xml:space="preserve">, </w:t>
      </w:r>
      <w:r w:rsidR="00002665" w:rsidRPr="00C07C99">
        <w:rPr>
          <w:rFonts w:ascii="Candara" w:hAnsi="Candara"/>
        </w:rPr>
        <w:t xml:space="preserve">se deduce que </w:t>
      </w:r>
      <w:r w:rsidR="006E19E7" w:rsidRPr="00C07C99">
        <w:rPr>
          <w:rFonts w:ascii="Candara" w:hAnsi="Candara"/>
        </w:rPr>
        <w:t>e</w:t>
      </w:r>
      <w:r w:rsidR="00002665" w:rsidRPr="00C07C99">
        <w:rPr>
          <w:rFonts w:ascii="Candara" w:hAnsi="Candara"/>
        </w:rPr>
        <w:t xml:space="preserve">l </w:t>
      </w:r>
      <w:r w:rsidR="006E19E7" w:rsidRPr="00C07C99">
        <w:rPr>
          <w:rFonts w:ascii="Candara" w:hAnsi="Candara"/>
        </w:rPr>
        <w:t xml:space="preserve">avance </w:t>
      </w:r>
      <w:r w:rsidR="00002665" w:rsidRPr="00C07C99">
        <w:rPr>
          <w:rFonts w:ascii="Candara" w:hAnsi="Candara"/>
        </w:rPr>
        <w:t>en el ejercicio fue mayor a</w:t>
      </w:r>
      <w:r w:rsidR="006E19E7" w:rsidRPr="00C07C99">
        <w:rPr>
          <w:rFonts w:ascii="Candara" w:hAnsi="Candara"/>
        </w:rPr>
        <w:t>l 100%</w:t>
      </w:r>
      <w:r w:rsidR="00ED75C9" w:rsidRPr="00C07C99">
        <w:rPr>
          <w:rFonts w:ascii="Candara" w:hAnsi="Candara"/>
        </w:rPr>
        <w:t>.</w:t>
      </w:r>
    </w:p>
    <w:p w14:paraId="04AE42D2" w14:textId="77777777" w:rsidR="00A5220A" w:rsidRDefault="00A5220A" w:rsidP="00373B89">
      <w:pPr>
        <w:spacing w:after="0" w:line="240" w:lineRule="auto"/>
        <w:rPr>
          <w:rFonts w:ascii="Candara" w:hAnsi="Candara"/>
          <w:b/>
        </w:rPr>
      </w:pPr>
    </w:p>
    <w:p w14:paraId="38C1CA5C" w14:textId="4A67A192" w:rsidR="00811CD8" w:rsidRPr="00C07C99" w:rsidRDefault="00811CD8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Generación de recursos humanos especializados</w:t>
      </w:r>
    </w:p>
    <w:p w14:paraId="13CBAEE0" w14:textId="6BC07738" w:rsidR="00811CD8" w:rsidRPr="00C07C99" w:rsidRDefault="00811CD8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="00647CA5" w:rsidRPr="00C07C99">
        <w:rPr>
          <w:rFonts w:ascii="Candara" w:hAnsi="Candara"/>
        </w:rPr>
        <w:t xml:space="preserve"> 81</w:t>
      </w:r>
      <w:r w:rsidRPr="00C07C99">
        <w:rPr>
          <w:rFonts w:ascii="Candara" w:hAnsi="Candara"/>
        </w:rPr>
        <w:t>%</w:t>
      </w:r>
    </w:p>
    <w:p w14:paraId="2394F36F" w14:textId="77777777" w:rsidR="00D207E7" w:rsidRDefault="00811CD8" w:rsidP="00BB6A5B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 xml:space="preserve">Este indicador cuantifica la contribución en la formación de recursos </w:t>
      </w:r>
      <w:r w:rsidR="00F14FB1" w:rsidRPr="00C07C99">
        <w:rPr>
          <w:rFonts w:ascii="Candara" w:hAnsi="Candara"/>
        </w:rPr>
        <w:t xml:space="preserve">humanos </w:t>
      </w:r>
      <w:r w:rsidRPr="00C07C99">
        <w:rPr>
          <w:rFonts w:ascii="Candara" w:hAnsi="Candara"/>
        </w:rPr>
        <w:t xml:space="preserve">en términos </w:t>
      </w:r>
      <w:r w:rsidRPr="00C07C99">
        <w:rPr>
          <w:rFonts w:ascii="Candara" w:hAnsi="Candara"/>
          <w:i/>
        </w:rPr>
        <w:t>per cápita</w:t>
      </w:r>
      <w:r w:rsidRPr="00C07C99">
        <w:rPr>
          <w:rFonts w:ascii="Candara" w:hAnsi="Candara"/>
        </w:rPr>
        <w:t xml:space="preserve"> </w:t>
      </w:r>
      <w:r w:rsidR="00FF6C3E" w:rsidRPr="00C07C99">
        <w:rPr>
          <w:rFonts w:ascii="Candara" w:hAnsi="Candara"/>
        </w:rPr>
        <w:t>de</w:t>
      </w:r>
      <w:r w:rsidRPr="00C07C99">
        <w:rPr>
          <w:rFonts w:ascii="Candara" w:hAnsi="Candara"/>
        </w:rPr>
        <w:t xml:space="preserve"> </w:t>
      </w:r>
      <w:r w:rsidR="00914338">
        <w:rPr>
          <w:rFonts w:ascii="Candara" w:hAnsi="Candara"/>
        </w:rPr>
        <w:t>quienes son</w:t>
      </w:r>
      <w:r w:rsidRPr="00C07C99">
        <w:rPr>
          <w:rFonts w:ascii="Candara" w:hAnsi="Candara"/>
        </w:rPr>
        <w:t xml:space="preserve"> investigadores de ECOSUR</w:t>
      </w:r>
      <w:r w:rsidR="00FF6C3E" w:rsidRPr="00C07C99">
        <w:rPr>
          <w:rFonts w:ascii="Candara" w:hAnsi="Candara"/>
        </w:rPr>
        <w:t>,</w:t>
      </w:r>
      <w:r w:rsidR="009804AA" w:rsidRPr="00C07C99">
        <w:rPr>
          <w:rFonts w:ascii="Candara" w:hAnsi="Candara"/>
        </w:rPr>
        <w:t xml:space="preserve"> dentro de </w:t>
      </w:r>
      <w:r w:rsidR="00914338">
        <w:rPr>
          <w:rFonts w:ascii="Candara" w:hAnsi="Candara"/>
        </w:rPr>
        <w:t>los</w:t>
      </w:r>
      <w:r w:rsidR="009804AA" w:rsidRPr="00C07C99">
        <w:rPr>
          <w:rFonts w:ascii="Candara" w:hAnsi="Candara"/>
        </w:rPr>
        <w:t xml:space="preserve"> programas de posgrado</w:t>
      </w:r>
      <w:r w:rsidR="00914338">
        <w:rPr>
          <w:rFonts w:ascii="Candara" w:hAnsi="Candara"/>
        </w:rPr>
        <w:t xml:space="preserve"> institucionales</w:t>
      </w:r>
      <w:r w:rsidRPr="00C07C99">
        <w:rPr>
          <w:rFonts w:ascii="Candara" w:hAnsi="Candara"/>
        </w:rPr>
        <w:t xml:space="preserve">. </w:t>
      </w:r>
      <w:r w:rsidR="00574C61" w:rsidRPr="00C07C99">
        <w:rPr>
          <w:rFonts w:ascii="Candara" w:hAnsi="Candara"/>
        </w:rPr>
        <w:t xml:space="preserve">Durante el </w:t>
      </w:r>
      <w:r w:rsidR="00751B41" w:rsidRPr="00C07C99">
        <w:rPr>
          <w:rFonts w:ascii="Candara" w:hAnsi="Candara"/>
        </w:rPr>
        <w:t xml:space="preserve">ejercicio </w:t>
      </w:r>
      <w:r w:rsidR="00574C61" w:rsidRPr="00C07C99">
        <w:rPr>
          <w:rFonts w:ascii="Candara" w:hAnsi="Candara"/>
        </w:rPr>
        <w:t xml:space="preserve">2019 se graduaron </w:t>
      </w:r>
      <w:r w:rsidR="005F3089" w:rsidRPr="00C07C99">
        <w:rPr>
          <w:rFonts w:ascii="Candara" w:hAnsi="Candara"/>
        </w:rPr>
        <w:t>92</w:t>
      </w:r>
      <w:r w:rsidR="00574C61" w:rsidRPr="00C07C99">
        <w:rPr>
          <w:rFonts w:ascii="Candara" w:hAnsi="Candara"/>
        </w:rPr>
        <w:t xml:space="preserve"> estudiantes</w:t>
      </w:r>
      <w:r w:rsidR="00914338">
        <w:rPr>
          <w:rFonts w:ascii="Candara" w:hAnsi="Candara"/>
        </w:rPr>
        <w:t>. D</w:t>
      </w:r>
      <w:r w:rsidR="00F14FB1" w:rsidRPr="00C07C99">
        <w:rPr>
          <w:rFonts w:ascii="Candara" w:hAnsi="Candara"/>
        </w:rPr>
        <w:t xml:space="preserve">e </w:t>
      </w:r>
      <w:r w:rsidR="00914338">
        <w:rPr>
          <w:rFonts w:ascii="Candara" w:hAnsi="Candara"/>
        </w:rPr>
        <w:t>esta cifra</w:t>
      </w:r>
      <w:r w:rsidR="00F14FB1" w:rsidRPr="00C07C99">
        <w:rPr>
          <w:rFonts w:ascii="Candara" w:hAnsi="Candara"/>
        </w:rPr>
        <w:t xml:space="preserve"> </w:t>
      </w:r>
      <w:r w:rsidR="005F3089" w:rsidRPr="00C07C99">
        <w:rPr>
          <w:rFonts w:ascii="Candara" w:hAnsi="Candara"/>
        </w:rPr>
        <w:t>64</w:t>
      </w:r>
      <w:r w:rsidR="00574C61" w:rsidRPr="00C07C99">
        <w:rPr>
          <w:rFonts w:ascii="Candara" w:hAnsi="Candara"/>
        </w:rPr>
        <w:t xml:space="preserve"> </w:t>
      </w:r>
      <w:r w:rsidR="00296349" w:rsidRPr="00C07C99">
        <w:rPr>
          <w:rFonts w:ascii="Candara" w:hAnsi="Candara"/>
        </w:rPr>
        <w:t>fueron</w:t>
      </w:r>
      <w:r w:rsidR="00F14FB1" w:rsidRPr="00C07C99">
        <w:rPr>
          <w:rFonts w:ascii="Candara" w:hAnsi="Candara"/>
        </w:rPr>
        <w:t xml:space="preserve"> </w:t>
      </w:r>
      <w:r w:rsidR="00574C61" w:rsidRPr="00C07C99">
        <w:rPr>
          <w:rFonts w:ascii="Candara" w:hAnsi="Candara"/>
        </w:rPr>
        <w:t xml:space="preserve">de </w:t>
      </w:r>
      <w:r w:rsidR="0042160C" w:rsidRPr="00C07C99">
        <w:rPr>
          <w:rFonts w:ascii="Candara" w:hAnsi="Candara"/>
        </w:rPr>
        <w:t xml:space="preserve">maestría y </w:t>
      </w:r>
      <w:r w:rsidR="005F3089" w:rsidRPr="00C07C99">
        <w:rPr>
          <w:rFonts w:ascii="Candara" w:hAnsi="Candara"/>
        </w:rPr>
        <w:t>28</w:t>
      </w:r>
      <w:r w:rsidR="0042160C" w:rsidRPr="00C07C99">
        <w:rPr>
          <w:rFonts w:ascii="Candara" w:hAnsi="Candara"/>
        </w:rPr>
        <w:t xml:space="preserve"> de doctorado. </w:t>
      </w:r>
      <w:r w:rsidR="007E4AEB" w:rsidRPr="00C07C99">
        <w:rPr>
          <w:rFonts w:ascii="Candara" w:hAnsi="Candara"/>
        </w:rPr>
        <w:t>El avance en este indicador se vio limitado temporalmente</w:t>
      </w:r>
      <w:r w:rsidR="001F1809" w:rsidRPr="00C07C99">
        <w:rPr>
          <w:rFonts w:ascii="Candara" w:hAnsi="Candara"/>
        </w:rPr>
        <w:t>,</w:t>
      </w:r>
      <w:r w:rsidR="007E4AEB" w:rsidRPr="00C07C99">
        <w:rPr>
          <w:rFonts w:ascii="Candara" w:hAnsi="Candara"/>
        </w:rPr>
        <w:t xml:space="preserve"> debido a que estudiantes no recibieron a tiempo la </w:t>
      </w:r>
    </w:p>
    <w:p w14:paraId="39D2841A" w14:textId="77777777" w:rsidR="00D207E7" w:rsidRDefault="00D207E7" w:rsidP="00BB6A5B">
      <w:pPr>
        <w:spacing w:line="276" w:lineRule="auto"/>
        <w:jc w:val="both"/>
        <w:rPr>
          <w:rFonts w:ascii="Candara" w:hAnsi="Candara"/>
        </w:rPr>
      </w:pPr>
    </w:p>
    <w:p w14:paraId="7734AECD" w14:textId="77777777" w:rsidR="00D207E7" w:rsidRDefault="00D207E7" w:rsidP="00BB6A5B">
      <w:pPr>
        <w:spacing w:line="276" w:lineRule="auto"/>
        <w:jc w:val="both"/>
        <w:rPr>
          <w:rFonts w:ascii="Candara" w:hAnsi="Candara"/>
        </w:rPr>
      </w:pPr>
    </w:p>
    <w:p w14:paraId="11CA5BF2" w14:textId="2E25457A" w:rsidR="00D207E7" w:rsidRDefault="007E4AEB" w:rsidP="00BB6A5B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 xml:space="preserve">constancia que </w:t>
      </w:r>
      <w:r w:rsidR="00914338" w:rsidRPr="00C07C99">
        <w:rPr>
          <w:rFonts w:ascii="Candara" w:hAnsi="Candara"/>
        </w:rPr>
        <w:t>emiten las</w:t>
      </w:r>
      <w:r w:rsidRPr="00C07C99">
        <w:rPr>
          <w:rFonts w:ascii="Candara" w:hAnsi="Candara"/>
        </w:rPr>
        <w:t xml:space="preserve"> revistas científicas o editoriales cuando </w:t>
      </w:r>
      <w:r w:rsidR="001F1809" w:rsidRPr="00C07C99">
        <w:rPr>
          <w:rFonts w:ascii="Candara" w:hAnsi="Candara"/>
        </w:rPr>
        <w:t xml:space="preserve">se somete o se acepta </w:t>
      </w:r>
      <w:r w:rsidRPr="00C07C99">
        <w:rPr>
          <w:rFonts w:ascii="Candara" w:hAnsi="Candara"/>
        </w:rPr>
        <w:t xml:space="preserve">un escrito para su posterior publicación, y esta constancia es un requisito para poder aplicar al examen de grado. </w:t>
      </w:r>
      <w:r w:rsidR="00515124" w:rsidRPr="00C07C99">
        <w:rPr>
          <w:rFonts w:ascii="Candara" w:hAnsi="Candara"/>
        </w:rPr>
        <w:t>E</w:t>
      </w:r>
      <w:r w:rsidRPr="00C07C99">
        <w:rPr>
          <w:rFonts w:ascii="Candara" w:hAnsi="Candara"/>
        </w:rPr>
        <w:t xml:space="preserve">sta situación </w:t>
      </w:r>
    </w:p>
    <w:p w14:paraId="5DD1254C" w14:textId="7317AF6F" w:rsidR="007E4AEB" w:rsidRPr="00C07C99" w:rsidRDefault="007E4AEB" w:rsidP="00BB6A5B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>suele presentarse</w:t>
      </w:r>
      <w:r w:rsidR="00515124" w:rsidRPr="00C07C99">
        <w:rPr>
          <w:rFonts w:ascii="Candara" w:hAnsi="Candara"/>
        </w:rPr>
        <w:t xml:space="preserve"> con cierta</w:t>
      </w:r>
      <w:r w:rsidRPr="00C07C99">
        <w:rPr>
          <w:rFonts w:ascii="Candara" w:hAnsi="Candara"/>
        </w:rPr>
        <w:t xml:space="preserve"> </w:t>
      </w:r>
      <w:r w:rsidR="00515124" w:rsidRPr="00C07C99">
        <w:rPr>
          <w:rFonts w:ascii="Candara" w:hAnsi="Candara"/>
        </w:rPr>
        <w:t xml:space="preserve">frecuencia </w:t>
      </w:r>
      <w:r w:rsidRPr="00C07C99">
        <w:rPr>
          <w:rFonts w:ascii="Candara" w:hAnsi="Candara"/>
        </w:rPr>
        <w:t>debido a l</w:t>
      </w:r>
      <w:r w:rsidR="001F1809" w:rsidRPr="00C07C99">
        <w:rPr>
          <w:rFonts w:ascii="Candara" w:hAnsi="Candara"/>
        </w:rPr>
        <w:t>a demora en l</w:t>
      </w:r>
      <w:r w:rsidRPr="00C07C99">
        <w:rPr>
          <w:rFonts w:ascii="Candara" w:hAnsi="Candara"/>
        </w:rPr>
        <w:t xml:space="preserve">os tiempos de revisión </w:t>
      </w:r>
      <w:r w:rsidR="001F1809" w:rsidRPr="00C07C99">
        <w:rPr>
          <w:rFonts w:ascii="Candara" w:hAnsi="Candara"/>
        </w:rPr>
        <w:t xml:space="preserve">de </w:t>
      </w:r>
      <w:r w:rsidRPr="00C07C99">
        <w:rPr>
          <w:rFonts w:ascii="Candara" w:hAnsi="Candara"/>
        </w:rPr>
        <w:t>quienes publican los escritos derivados de las tesis de estudiantes</w:t>
      </w:r>
      <w:r w:rsidR="00515124" w:rsidRPr="00C07C99">
        <w:rPr>
          <w:rFonts w:ascii="Candara" w:hAnsi="Candara"/>
        </w:rPr>
        <w:t xml:space="preserve">. No está de más mencionar que se mantiene </w:t>
      </w:r>
      <w:r w:rsidRPr="00C07C99">
        <w:rPr>
          <w:rFonts w:ascii="Candara" w:hAnsi="Candara"/>
        </w:rPr>
        <w:t xml:space="preserve">un </w:t>
      </w:r>
      <w:r w:rsidR="00515124" w:rsidRPr="00C07C99">
        <w:rPr>
          <w:rFonts w:ascii="Candara" w:hAnsi="Candara"/>
        </w:rPr>
        <w:t>acompañamiento</w:t>
      </w:r>
      <w:r w:rsidRPr="00C07C99">
        <w:rPr>
          <w:rFonts w:ascii="Candara" w:hAnsi="Candara"/>
        </w:rPr>
        <w:t xml:space="preserve"> estrecho y permanente </w:t>
      </w:r>
      <w:r w:rsidR="00515124" w:rsidRPr="00C07C99">
        <w:rPr>
          <w:rFonts w:ascii="Candara" w:hAnsi="Candara"/>
        </w:rPr>
        <w:t xml:space="preserve">con cada estudiante </w:t>
      </w:r>
      <w:r w:rsidRPr="00C07C99">
        <w:rPr>
          <w:rFonts w:ascii="Candara" w:hAnsi="Candara"/>
        </w:rPr>
        <w:t xml:space="preserve">por parte de </w:t>
      </w:r>
      <w:r w:rsidR="00515124" w:rsidRPr="00C07C99">
        <w:rPr>
          <w:rFonts w:ascii="Candara" w:hAnsi="Candara"/>
        </w:rPr>
        <w:t xml:space="preserve">sus </w:t>
      </w:r>
      <w:r w:rsidRPr="00C07C99">
        <w:rPr>
          <w:rFonts w:ascii="Candara" w:hAnsi="Candara"/>
        </w:rPr>
        <w:t>directores de tesis y consejos tutelares</w:t>
      </w:r>
      <w:r w:rsidR="00515124" w:rsidRPr="00C07C99">
        <w:rPr>
          <w:rFonts w:ascii="Candara" w:hAnsi="Candara"/>
        </w:rPr>
        <w:t xml:space="preserve">, para garantizar la </w:t>
      </w:r>
      <w:r w:rsidR="00972BD0" w:rsidRPr="00C07C99">
        <w:rPr>
          <w:rFonts w:ascii="Candara" w:hAnsi="Candara"/>
        </w:rPr>
        <w:t xml:space="preserve">publicación de sus escritos y la </w:t>
      </w:r>
      <w:r w:rsidR="00515124" w:rsidRPr="00C07C99">
        <w:rPr>
          <w:rFonts w:ascii="Candara" w:hAnsi="Candara"/>
        </w:rPr>
        <w:t>obtención del grado</w:t>
      </w:r>
      <w:r w:rsidRPr="00C07C99">
        <w:rPr>
          <w:rFonts w:ascii="Candara" w:hAnsi="Candara"/>
        </w:rPr>
        <w:t>.</w:t>
      </w:r>
    </w:p>
    <w:p w14:paraId="6F602604" w14:textId="6FD7E247" w:rsidR="007D0B9D" w:rsidRPr="00C07C99" w:rsidRDefault="007D0B9D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Calidad de los posgrados</w:t>
      </w:r>
    </w:p>
    <w:p w14:paraId="3ADCA925" w14:textId="77777777" w:rsidR="007D0B9D" w:rsidRPr="00C07C99" w:rsidRDefault="007D0B9D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Pr="00C07C99">
        <w:rPr>
          <w:rFonts w:ascii="Candara" w:hAnsi="Candara"/>
        </w:rPr>
        <w:t xml:space="preserve"> 100%</w:t>
      </w:r>
    </w:p>
    <w:p w14:paraId="3E51CB54" w14:textId="290A2B93" w:rsidR="007D0B9D" w:rsidRPr="00C07C99" w:rsidRDefault="007D0B9D" w:rsidP="00BB6A5B">
      <w:pPr>
        <w:spacing w:line="276" w:lineRule="auto"/>
        <w:jc w:val="both"/>
        <w:rPr>
          <w:rFonts w:ascii="Candara" w:hAnsi="Candara"/>
          <w:b/>
        </w:rPr>
      </w:pPr>
      <w:r w:rsidRPr="00C07C99">
        <w:rPr>
          <w:rFonts w:ascii="Candara" w:hAnsi="Candara"/>
        </w:rPr>
        <w:t>Este indicador presenta el reconocimiento que tienen los programas de posgrado, tomando como referencia su nivel dentro del Programa Nacional de Posgrados de Calidad</w:t>
      </w:r>
      <w:r w:rsidR="00943D3E" w:rsidRPr="00C07C99">
        <w:rPr>
          <w:rFonts w:ascii="Candara" w:hAnsi="Candara"/>
        </w:rPr>
        <w:t xml:space="preserve"> (PNPC)</w:t>
      </w:r>
      <w:r w:rsidRPr="00C07C99">
        <w:rPr>
          <w:rFonts w:ascii="Candara" w:hAnsi="Candara"/>
        </w:rPr>
        <w:t xml:space="preserve"> de CONACYT. </w:t>
      </w:r>
      <w:r w:rsidR="00E2201D" w:rsidRPr="00C07C99">
        <w:rPr>
          <w:rFonts w:ascii="Candara" w:hAnsi="Candara"/>
        </w:rPr>
        <w:t xml:space="preserve">Para diciembre de 2019, </w:t>
      </w:r>
      <w:r w:rsidR="00943D3E" w:rsidRPr="00C07C99">
        <w:rPr>
          <w:rFonts w:ascii="Candara" w:hAnsi="Candara"/>
        </w:rPr>
        <w:t xml:space="preserve">se cuenta con tres programas de posgrado reconocidos por el PNPC, uno en desarrollo, uno consolidado y uno más en nivel internacional. </w:t>
      </w:r>
      <w:r w:rsidRPr="00C07C99">
        <w:rPr>
          <w:rFonts w:ascii="Candara" w:hAnsi="Candara"/>
        </w:rPr>
        <w:t xml:space="preserve">El valor alcanzado en este indicador </w:t>
      </w:r>
      <w:r w:rsidR="00972BD0" w:rsidRPr="00C07C99">
        <w:rPr>
          <w:rFonts w:ascii="Candara" w:hAnsi="Candara"/>
        </w:rPr>
        <w:t xml:space="preserve">fue </w:t>
      </w:r>
      <w:r w:rsidRPr="00C07C99">
        <w:rPr>
          <w:rFonts w:ascii="Candara" w:hAnsi="Candara"/>
        </w:rPr>
        <w:t>de 0.</w:t>
      </w:r>
      <w:r w:rsidR="00FF6C3E" w:rsidRPr="00C07C99">
        <w:rPr>
          <w:rFonts w:ascii="Candara" w:hAnsi="Candara"/>
        </w:rPr>
        <w:t>75</w:t>
      </w:r>
      <w:r w:rsidRPr="00C07C99">
        <w:rPr>
          <w:rFonts w:ascii="Candara" w:hAnsi="Candara"/>
        </w:rPr>
        <w:t xml:space="preserve"> (</w:t>
      </w:r>
      <w:r w:rsidR="00FF6C3E" w:rsidRPr="00C07C99">
        <w:rPr>
          <w:rFonts w:ascii="Candara" w:hAnsi="Candara"/>
        </w:rPr>
        <w:t>75</w:t>
      </w:r>
      <w:r w:rsidRPr="00C07C99">
        <w:rPr>
          <w:rFonts w:ascii="Candara" w:hAnsi="Candara"/>
        </w:rPr>
        <w:t xml:space="preserve"> puntos), lo cual</w:t>
      </w:r>
      <w:r w:rsidR="00E2201D" w:rsidRPr="00C07C99">
        <w:rPr>
          <w:rFonts w:ascii="Candara" w:hAnsi="Candara"/>
        </w:rPr>
        <w:t xml:space="preserve"> representa </w:t>
      </w:r>
      <w:r w:rsidRPr="00C07C99">
        <w:rPr>
          <w:rFonts w:ascii="Candara" w:hAnsi="Candara"/>
        </w:rPr>
        <w:t xml:space="preserve">un avance </w:t>
      </w:r>
      <w:r w:rsidR="00FF6C3E" w:rsidRPr="00C07C99">
        <w:rPr>
          <w:rFonts w:ascii="Candara" w:hAnsi="Candara"/>
        </w:rPr>
        <w:t xml:space="preserve">del </w:t>
      </w:r>
      <w:r w:rsidRPr="00C07C99">
        <w:rPr>
          <w:rFonts w:ascii="Candara" w:hAnsi="Candara"/>
        </w:rPr>
        <w:t>100% respecto a la meta anual</w:t>
      </w:r>
      <w:r w:rsidR="00E2201D" w:rsidRPr="00C07C99">
        <w:rPr>
          <w:rFonts w:ascii="Candara" w:hAnsi="Candara"/>
        </w:rPr>
        <w:t xml:space="preserve"> de 0.63</w:t>
      </w:r>
      <w:r w:rsidRPr="00C07C99">
        <w:rPr>
          <w:rFonts w:ascii="Candara" w:hAnsi="Candara"/>
        </w:rPr>
        <w:t>.</w:t>
      </w:r>
    </w:p>
    <w:p w14:paraId="61472573" w14:textId="77777777" w:rsidR="003D6262" w:rsidRPr="00C07C99" w:rsidRDefault="003D6262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Proyectos externos por investigador</w:t>
      </w:r>
    </w:p>
    <w:p w14:paraId="6F31E37F" w14:textId="17E8C481" w:rsidR="003D6262" w:rsidRPr="00C07C99" w:rsidRDefault="003D6262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="0095114D" w:rsidRPr="00C07C99">
        <w:rPr>
          <w:rFonts w:ascii="Candara" w:hAnsi="Candara"/>
        </w:rPr>
        <w:t xml:space="preserve"> </w:t>
      </w:r>
      <w:r w:rsidR="00647CA5" w:rsidRPr="00C07C99">
        <w:rPr>
          <w:rFonts w:ascii="Candara" w:hAnsi="Candara"/>
        </w:rPr>
        <w:t>100</w:t>
      </w:r>
      <w:r w:rsidRPr="00C07C99">
        <w:rPr>
          <w:rFonts w:ascii="Candara" w:hAnsi="Candara"/>
        </w:rPr>
        <w:t>%</w:t>
      </w:r>
    </w:p>
    <w:p w14:paraId="2B3174DE" w14:textId="4F39D3E7" w:rsidR="00C11BD3" w:rsidRPr="00C07C99" w:rsidRDefault="007B2B10" w:rsidP="00BB6A5B">
      <w:pPr>
        <w:spacing w:line="276" w:lineRule="auto"/>
        <w:jc w:val="both"/>
        <w:rPr>
          <w:rFonts w:ascii="Candara" w:hAnsi="Candara"/>
          <w:b/>
        </w:rPr>
      </w:pPr>
      <w:r w:rsidRPr="00C07C99">
        <w:rPr>
          <w:rFonts w:ascii="Candara" w:hAnsi="Candara"/>
        </w:rPr>
        <w:t xml:space="preserve">Este indicador es utilizado para medir la cantidad de proyectos que ejecuta el Centro en relación </w:t>
      </w:r>
      <w:r w:rsidR="00914338">
        <w:rPr>
          <w:rFonts w:ascii="Candara" w:hAnsi="Candara"/>
        </w:rPr>
        <w:t>con el</w:t>
      </w:r>
      <w:r w:rsidRPr="00C07C99">
        <w:rPr>
          <w:rFonts w:ascii="Candara" w:hAnsi="Candara"/>
        </w:rPr>
        <w:t xml:space="preserve"> número de investigadores </w:t>
      </w:r>
      <w:r w:rsidR="00914338">
        <w:rPr>
          <w:rFonts w:ascii="Candara" w:hAnsi="Candara"/>
        </w:rPr>
        <w:t>presentes</w:t>
      </w:r>
      <w:r w:rsidRPr="00C07C99">
        <w:rPr>
          <w:rFonts w:ascii="Candara" w:hAnsi="Candara"/>
        </w:rPr>
        <w:t xml:space="preserve">. </w:t>
      </w:r>
      <w:r w:rsidR="00344D3C" w:rsidRPr="00C07C99">
        <w:rPr>
          <w:rFonts w:ascii="Candara" w:hAnsi="Candara"/>
        </w:rPr>
        <w:t xml:space="preserve">Durante el ejercicio </w:t>
      </w:r>
      <w:r w:rsidR="00AD3BDB" w:rsidRPr="00C07C99">
        <w:rPr>
          <w:rFonts w:ascii="Candara" w:hAnsi="Candara"/>
        </w:rPr>
        <w:t>2019</w:t>
      </w:r>
      <w:r w:rsidR="00050E9B" w:rsidRPr="00C07C99">
        <w:rPr>
          <w:rFonts w:ascii="Candara" w:hAnsi="Candara"/>
        </w:rPr>
        <w:t xml:space="preserve"> </w:t>
      </w:r>
      <w:r w:rsidR="00FF6C3E" w:rsidRPr="00C07C99">
        <w:rPr>
          <w:rFonts w:ascii="Candara" w:hAnsi="Candara"/>
        </w:rPr>
        <w:t xml:space="preserve">se </w:t>
      </w:r>
      <w:r w:rsidR="00344D3C" w:rsidRPr="00C07C99">
        <w:rPr>
          <w:rFonts w:ascii="Candara" w:hAnsi="Candara"/>
        </w:rPr>
        <w:t>mantuvo actividad en 63</w:t>
      </w:r>
      <w:r w:rsidR="00FF6C3E" w:rsidRPr="00C07C99">
        <w:rPr>
          <w:rFonts w:ascii="Candara" w:hAnsi="Candara"/>
        </w:rPr>
        <w:t xml:space="preserve"> proyectos</w:t>
      </w:r>
      <w:r w:rsidR="0026448D" w:rsidRPr="00C07C99">
        <w:rPr>
          <w:rFonts w:ascii="Candara" w:hAnsi="Candara"/>
        </w:rPr>
        <w:t xml:space="preserve"> distribuidos en las cinco unidades</w:t>
      </w:r>
      <w:r w:rsidR="00146529" w:rsidRPr="00C07C99">
        <w:rPr>
          <w:rFonts w:ascii="Candara" w:hAnsi="Candara"/>
        </w:rPr>
        <w:t>,</w:t>
      </w:r>
      <w:r w:rsidR="005C7EF4" w:rsidRPr="00C07C99">
        <w:rPr>
          <w:rFonts w:ascii="Candara" w:hAnsi="Candara"/>
        </w:rPr>
        <w:t xml:space="preserve"> </w:t>
      </w:r>
      <w:r w:rsidR="0026448D" w:rsidRPr="00C07C99">
        <w:rPr>
          <w:rFonts w:ascii="Candara" w:hAnsi="Candara"/>
        </w:rPr>
        <w:t xml:space="preserve">siendo Chetumal y San Cristóbal las que </w:t>
      </w:r>
      <w:r w:rsidR="00EA5765" w:rsidRPr="00C07C99">
        <w:rPr>
          <w:rFonts w:ascii="Candara" w:hAnsi="Candara"/>
        </w:rPr>
        <w:t>concentra</w:t>
      </w:r>
      <w:r w:rsidR="00344D3C" w:rsidRPr="00C07C99">
        <w:rPr>
          <w:rFonts w:ascii="Candara" w:hAnsi="Candara"/>
        </w:rPr>
        <w:t>ron</w:t>
      </w:r>
      <w:r w:rsidR="00EA5765" w:rsidRPr="00C07C99">
        <w:rPr>
          <w:rFonts w:ascii="Candara" w:hAnsi="Candara"/>
        </w:rPr>
        <w:t xml:space="preserve"> la mayor cantidad. </w:t>
      </w:r>
      <w:r w:rsidR="00344D3C" w:rsidRPr="00C07C99">
        <w:rPr>
          <w:rFonts w:ascii="Candara" w:hAnsi="Candara"/>
        </w:rPr>
        <w:t xml:space="preserve">El valor obtenido en este indicador fue de 0.39 proyectos por </w:t>
      </w:r>
      <w:r w:rsidR="00914338">
        <w:rPr>
          <w:rFonts w:ascii="Candara" w:hAnsi="Candara"/>
        </w:rPr>
        <w:t>personal de investigación</w:t>
      </w:r>
      <w:r w:rsidR="00344D3C" w:rsidRPr="00C07C99">
        <w:rPr>
          <w:rFonts w:ascii="Candara" w:hAnsi="Candara"/>
        </w:rPr>
        <w:t xml:space="preserve">, lo cual representa un avance mayor al 100% en relación </w:t>
      </w:r>
      <w:r w:rsidR="00914338">
        <w:rPr>
          <w:rFonts w:ascii="Candara" w:hAnsi="Candara"/>
        </w:rPr>
        <w:t>con</w:t>
      </w:r>
      <w:r w:rsidR="00344D3C" w:rsidRPr="00C07C99">
        <w:rPr>
          <w:rFonts w:ascii="Candara" w:hAnsi="Candara"/>
        </w:rPr>
        <w:t xml:space="preserve"> la meta anual de 0.30</w:t>
      </w:r>
      <w:r w:rsidR="00EA5765" w:rsidRPr="00C07C99">
        <w:rPr>
          <w:rFonts w:ascii="Candara" w:hAnsi="Candara"/>
        </w:rPr>
        <w:t>.</w:t>
      </w:r>
    </w:p>
    <w:p w14:paraId="39614E8A" w14:textId="381CFA15" w:rsidR="007D0B9D" w:rsidRPr="00C07C99" w:rsidRDefault="007D0B9D" w:rsidP="00373B89">
      <w:pPr>
        <w:spacing w:after="0" w:line="240" w:lineRule="auto"/>
        <w:rPr>
          <w:rFonts w:ascii="Candara" w:hAnsi="Candara"/>
          <w:b/>
        </w:rPr>
      </w:pPr>
      <w:r w:rsidRPr="00C07C99">
        <w:rPr>
          <w:rFonts w:ascii="Candara" w:hAnsi="Candara"/>
          <w:b/>
        </w:rPr>
        <w:t>Generación de conocimiento de calidad</w:t>
      </w:r>
    </w:p>
    <w:p w14:paraId="7C905FE1" w14:textId="25C311FE" w:rsidR="007D0B9D" w:rsidRPr="00C07C99" w:rsidRDefault="007D0B9D" w:rsidP="009A409F">
      <w:pPr>
        <w:spacing w:after="0"/>
        <w:rPr>
          <w:rFonts w:ascii="Candara" w:hAnsi="Candara"/>
        </w:rPr>
      </w:pPr>
      <w:r w:rsidRPr="00C07C99">
        <w:rPr>
          <w:rFonts w:ascii="Candara" w:hAnsi="Candara"/>
          <w:b/>
        </w:rPr>
        <w:t>Avance:</w:t>
      </w:r>
      <w:r w:rsidRPr="00C07C99">
        <w:rPr>
          <w:rFonts w:ascii="Candara" w:hAnsi="Candara"/>
        </w:rPr>
        <w:t xml:space="preserve"> </w:t>
      </w:r>
      <w:r w:rsidR="00647CA5" w:rsidRPr="00C07C99">
        <w:rPr>
          <w:rFonts w:ascii="Candara" w:hAnsi="Candara"/>
        </w:rPr>
        <w:t>100</w:t>
      </w:r>
      <w:r w:rsidRPr="00C07C99">
        <w:rPr>
          <w:rFonts w:ascii="Candara" w:hAnsi="Candara"/>
        </w:rPr>
        <w:t>%</w:t>
      </w:r>
    </w:p>
    <w:p w14:paraId="214B8925" w14:textId="56468CA7" w:rsidR="00A613C6" w:rsidRPr="00C07C99" w:rsidRDefault="007D0B9D" w:rsidP="00BB6A5B">
      <w:pPr>
        <w:spacing w:line="276" w:lineRule="auto"/>
        <w:jc w:val="both"/>
        <w:rPr>
          <w:rFonts w:ascii="Candara" w:hAnsi="Candara"/>
        </w:rPr>
      </w:pPr>
      <w:r w:rsidRPr="00C07C99">
        <w:rPr>
          <w:rFonts w:ascii="Candara" w:hAnsi="Candara"/>
        </w:rPr>
        <w:t xml:space="preserve">Este indicador cuantifica la producción de conocimiento científico de calidad, en términos </w:t>
      </w:r>
      <w:r w:rsidRPr="00C07C99">
        <w:rPr>
          <w:rFonts w:ascii="Candara" w:hAnsi="Candara"/>
          <w:i/>
        </w:rPr>
        <w:t>per cápita</w:t>
      </w:r>
      <w:r w:rsidRPr="00C07C99">
        <w:rPr>
          <w:rFonts w:ascii="Candara" w:hAnsi="Candara"/>
        </w:rPr>
        <w:t>, que genera</w:t>
      </w:r>
      <w:r w:rsidR="00914338">
        <w:rPr>
          <w:rFonts w:ascii="Candara" w:hAnsi="Candara"/>
        </w:rPr>
        <w:t xml:space="preserve"> el personal de investigación</w:t>
      </w:r>
      <w:r w:rsidRPr="00C07C99">
        <w:rPr>
          <w:rFonts w:ascii="Candara" w:hAnsi="Candara"/>
        </w:rPr>
        <w:t xml:space="preserve"> mediante la publicación </w:t>
      </w:r>
      <w:r w:rsidR="00CA24C1" w:rsidRPr="00C07C99">
        <w:rPr>
          <w:rFonts w:ascii="Candara" w:hAnsi="Candara"/>
        </w:rPr>
        <w:t xml:space="preserve">arbitrada </w:t>
      </w:r>
      <w:r w:rsidRPr="00C07C99">
        <w:rPr>
          <w:rFonts w:ascii="Candara" w:hAnsi="Candara"/>
        </w:rPr>
        <w:t xml:space="preserve">de libros, capítulos y artículos. </w:t>
      </w:r>
      <w:r w:rsidR="00344D3C" w:rsidRPr="00C07C99">
        <w:rPr>
          <w:rFonts w:ascii="Candara" w:hAnsi="Candara"/>
        </w:rPr>
        <w:t xml:space="preserve">En el periodo enero – diciembre de 2019 </w:t>
      </w:r>
      <w:r w:rsidR="0026448D" w:rsidRPr="00C07C99">
        <w:rPr>
          <w:rFonts w:ascii="Candara" w:hAnsi="Candara"/>
        </w:rPr>
        <w:t>se lleg</w:t>
      </w:r>
      <w:r w:rsidR="00F35745" w:rsidRPr="00C07C99">
        <w:rPr>
          <w:rFonts w:ascii="Candara" w:hAnsi="Candara"/>
        </w:rPr>
        <w:t xml:space="preserve">ó </w:t>
      </w:r>
      <w:r w:rsidR="0026448D" w:rsidRPr="00C07C99">
        <w:rPr>
          <w:rFonts w:ascii="Candara" w:hAnsi="Candara"/>
        </w:rPr>
        <w:t xml:space="preserve">a </w:t>
      </w:r>
      <w:r w:rsidR="00B51E99" w:rsidRPr="00C07C99">
        <w:rPr>
          <w:rFonts w:ascii="Candara" w:hAnsi="Candara"/>
        </w:rPr>
        <w:t>440</w:t>
      </w:r>
      <w:r w:rsidR="0026448D" w:rsidRPr="00C07C99">
        <w:rPr>
          <w:rFonts w:ascii="Candara" w:hAnsi="Candara"/>
        </w:rPr>
        <w:t xml:space="preserve"> publicaciones</w:t>
      </w:r>
      <w:r w:rsidR="00B51E99" w:rsidRPr="00C07C99">
        <w:rPr>
          <w:rFonts w:ascii="Candara" w:hAnsi="Candara"/>
        </w:rPr>
        <w:t xml:space="preserve"> arbitradas</w:t>
      </w:r>
      <w:r w:rsidR="00EA5765" w:rsidRPr="00C07C99">
        <w:rPr>
          <w:rFonts w:ascii="Candara" w:hAnsi="Candara"/>
        </w:rPr>
        <w:t xml:space="preserve">, de las cuales </w:t>
      </w:r>
      <w:r w:rsidR="00B51E99" w:rsidRPr="00C07C99">
        <w:rPr>
          <w:rFonts w:ascii="Candara" w:hAnsi="Candara"/>
        </w:rPr>
        <w:t>339</w:t>
      </w:r>
      <w:r w:rsidR="00EA5765" w:rsidRPr="00C07C99">
        <w:rPr>
          <w:rFonts w:ascii="Candara" w:hAnsi="Candara"/>
        </w:rPr>
        <w:t xml:space="preserve"> </w:t>
      </w:r>
      <w:r w:rsidR="001F1809" w:rsidRPr="00C07C99">
        <w:rPr>
          <w:rFonts w:ascii="Candara" w:hAnsi="Candara"/>
        </w:rPr>
        <w:t>fueron</w:t>
      </w:r>
      <w:r w:rsidR="00EA5765" w:rsidRPr="00C07C99">
        <w:rPr>
          <w:rFonts w:ascii="Candara" w:hAnsi="Candara"/>
        </w:rPr>
        <w:t xml:space="preserve"> artículos</w:t>
      </w:r>
      <w:r w:rsidR="00CA24C1" w:rsidRPr="00C07C99">
        <w:rPr>
          <w:rFonts w:ascii="Candara" w:hAnsi="Candara"/>
        </w:rPr>
        <w:t xml:space="preserve"> indexados</w:t>
      </w:r>
      <w:r w:rsidR="00B51E99" w:rsidRPr="00C07C99">
        <w:rPr>
          <w:rFonts w:ascii="Candara" w:hAnsi="Candara"/>
        </w:rPr>
        <w:t>, 82</w:t>
      </w:r>
      <w:r w:rsidR="00EA5765" w:rsidRPr="00C07C99">
        <w:rPr>
          <w:rFonts w:ascii="Candara" w:hAnsi="Candara"/>
        </w:rPr>
        <w:t xml:space="preserve"> capítulos y </w:t>
      </w:r>
      <w:r w:rsidR="00B51E99" w:rsidRPr="00C07C99">
        <w:rPr>
          <w:rFonts w:ascii="Candara" w:hAnsi="Candara"/>
        </w:rPr>
        <w:t>19</w:t>
      </w:r>
      <w:r w:rsidR="00EA5765" w:rsidRPr="00C07C99">
        <w:rPr>
          <w:rFonts w:ascii="Candara" w:hAnsi="Candara"/>
        </w:rPr>
        <w:t xml:space="preserve"> libros. </w:t>
      </w:r>
      <w:r w:rsidR="00B51E99" w:rsidRPr="00C07C99">
        <w:rPr>
          <w:rFonts w:ascii="Candara" w:hAnsi="Candara"/>
        </w:rPr>
        <w:t xml:space="preserve">El indicador se posicionó en 2.75 publicaciones arbitradas por </w:t>
      </w:r>
      <w:r w:rsidR="00914338">
        <w:rPr>
          <w:rFonts w:ascii="Candara" w:hAnsi="Candara"/>
        </w:rPr>
        <w:t xml:space="preserve">persona </w:t>
      </w:r>
      <w:r w:rsidR="00B51E99" w:rsidRPr="00C07C99">
        <w:rPr>
          <w:rFonts w:ascii="Candara" w:hAnsi="Candara"/>
        </w:rPr>
        <w:t>investigador</w:t>
      </w:r>
      <w:r w:rsidR="00914338">
        <w:rPr>
          <w:rFonts w:ascii="Candara" w:hAnsi="Candara"/>
        </w:rPr>
        <w:t>a</w:t>
      </w:r>
      <w:r w:rsidR="00B51E99" w:rsidRPr="00C07C99">
        <w:rPr>
          <w:rFonts w:ascii="Candara" w:hAnsi="Candara"/>
        </w:rPr>
        <w:t xml:space="preserve"> y representa el segundo valor </w:t>
      </w:r>
      <w:r w:rsidR="00B4029D" w:rsidRPr="00C07C99">
        <w:rPr>
          <w:rFonts w:ascii="Candara" w:hAnsi="Candara"/>
        </w:rPr>
        <w:t xml:space="preserve">histórico </w:t>
      </w:r>
      <w:r w:rsidR="00B51E99" w:rsidRPr="00C07C99">
        <w:rPr>
          <w:rFonts w:ascii="Candara" w:hAnsi="Candara"/>
        </w:rPr>
        <w:t>más alto de publicaciones logradas por ECOSUR en un año. El avance fue mayor al 100% tomando en cuenta que la meta era 2.00.</w:t>
      </w:r>
    </w:p>
    <w:sectPr w:rsidR="00A613C6" w:rsidRPr="00C07C99" w:rsidSect="0052017E">
      <w:headerReference w:type="default" r:id="rId9"/>
      <w:footerReference w:type="default" r:id="rId10"/>
      <w:pgSz w:w="12240" w:h="15840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FC2A0" w14:textId="77777777" w:rsidR="00473EC8" w:rsidRDefault="00473EC8" w:rsidP="00A32939">
      <w:pPr>
        <w:spacing w:after="0" w:line="240" w:lineRule="auto"/>
      </w:pPr>
      <w:r>
        <w:separator/>
      </w:r>
    </w:p>
  </w:endnote>
  <w:endnote w:type="continuationSeparator" w:id="0">
    <w:p w14:paraId="224DD8CF" w14:textId="77777777" w:rsidR="00473EC8" w:rsidRDefault="00473EC8" w:rsidP="00A3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085065"/>
      <w:docPartObj>
        <w:docPartGallery w:val="Page Numbers (Bottom of Page)"/>
        <w:docPartUnique/>
      </w:docPartObj>
    </w:sdtPr>
    <w:sdtEndPr/>
    <w:sdtContent>
      <w:p w14:paraId="6BA8B031" w14:textId="1EB9A10A" w:rsidR="00C07C99" w:rsidRDefault="00D207E7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565E42" wp14:editId="60EF9D53">
                  <wp:simplePos x="0" y="0"/>
                  <wp:positionH relativeFrom="column">
                    <wp:posOffset>5167270</wp:posOffset>
                  </wp:positionH>
                  <wp:positionV relativeFrom="paragraph">
                    <wp:posOffset>-113845</wp:posOffset>
                  </wp:positionV>
                  <wp:extent cx="367031" cy="457200"/>
                  <wp:effectExtent l="0" t="6985" r="26035" b="26035"/>
                  <wp:wrapNone/>
                  <wp:docPr id="7" name="Rectang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367031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E44C4" w14:textId="77E5B9DE" w:rsidR="00D207E7" w:rsidRDefault="00D207E7">
                              <w:pPr>
                                <w:pStyle w:val="Piedepgina"/>
                                <w:jc w:val="center"/>
                              </w:pPr>
                              <w:r>
                                <w:t>Pág.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31376" w:rsidRPr="00131376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5C565E42" id="Rectangle 22" o:spid="_x0000_s1026" style="position:absolute;margin-left:406.85pt;margin-top:-8.95pt;width:28.9pt;height:36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" fillcolor="white [3212]" strokecolor="white [3212]">
                  <v:textbox>
                    <w:txbxContent>
                      <w:p w14:paraId="096E44C4" w14:textId="77E5B9DE" w:rsidR="00D207E7" w:rsidRDefault="00D207E7">
                        <w:pPr>
                          <w:pStyle w:val="Piedepgina"/>
                          <w:jc w:val="center"/>
                        </w:pPr>
                        <w:r>
                          <w:t>Pág.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31376" w:rsidRPr="00131376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eastAsia="es-MX"/>
          </w:rPr>
          <w:drawing>
            <wp:anchor distT="0" distB="0" distL="114300" distR="114300" simplePos="0" relativeHeight="251661312" behindDoc="1" locked="0" layoutInCell="1" allowOverlap="1" wp14:anchorId="75BDF5AA" wp14:editId="334B1C6F">
              <wp:simplePos x="0" y="0"/>
              <wp:positionH relativeFrom="column">
                <wp:posOffset>-64482</wp:posOffset>
              </wp:positionH>
              <wp:positionV relativeFrom="paragraph">
                <wp:posOffset>-69083</wp:posOffset>
              </wp:positionV>
              <wp:extent cx="6473681" cy="682625"/>
              <wp:effectExtent l="0" t="0" r="3810" b="3175"/>
              <wp:wrapNone/>
              <wp:docPr id="8" name="Imagen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6422" cy="6829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C6D6" w14:textId="77777777" w:rsidR="00473EC8" w:rsidRDefault="00473EC8" w:rsidP="00A32939">
      <w:pPr>
        <w:spacing w:after="0" w:line="240" w:lineRule="auto"/>
      </w:pPr>
      <w:r>
        <w:separator/>
      </w:r>
    </w:p>
  </w:footnote>
  <w:footnote w:type="continuationSeparator" w:id="0">
    <w:p w14:paraId="6D076588" w14:textId="77777777" w:rsidR="00473EC8" w:rsidRDefault="00473EC8" w:rsidP="00A3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E4F57" w14:textId="6459E8D2" w:rsidR="00C07C99" w:rsidRDefault="00D207E7">
    <w:pPr>
      <w:pStyle w:val="Encabezado"/>
    </w:pPr>
    <w:r>
      <w:rPr>
        <w:rFonts w:ascii="Candara" w:hAnsi="Candara" w:cs="Arial"/>
        <w:noProof/>
        <w:sz w:val="24"/>
        <w:lang w:eastAsia="es-MX"/>
      </w:rPr>
      <w:drawing>
        <wp:anchor distT="0" distB="0" distL="114300" distR="114300" simplePos="0" relativeHeight="251663360" behindDoc="0" locked="0" layoutInCell="1" allowOverlap="1" wp14:anchorId="6845BB18" wp14:editId="000C1DE1">
          <wp:simplePos x="0" y="0"/>
          <wp:positionH relativeFrom="column">
            <wp:posOffset>-64194</wp:posOffset>
          </wp:positionH>
          <wp:positionV relativeFrom="paragraph">
            <wp:posOffset>-251460</wp:posOffset>
          </wp:positionV>
          <wp:extent cx="6412806" cy="87182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806" cy="871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E1D4D" w14:textId="77777777" w:rsidR="00C07C99" w:rsidRDefault="00C07C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A3"/>
    <w:multiLevelType w:val="hybridMultilevel"/>
    <w:tmpl w:val="0C72D32A"/>
    <w:lvl w:ilvl="0" w:tplc="5BAAF3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76D4B"/>
    <w:multiLevelType w:val="hybridMultilevel"/>
    <w:tmpl w:val="0C72D32A"/>
    <w:lvl w:ilvl="0" w:tplc="5BAAF3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61"/>
    <w:rsid w:val="00000C5A"/>
    <w:rsid w:val="00002665"/>
    <w:rsid w:val="00050E9B"/>
    <w:rsid w:val="00064925"/>
    <w:rsid w:val="000D26BE"/>
    <w:rsid w:val="000D53C7"/>
    <w:rsid w:val="000D714C"/>
    <w:rsid w:val="000F5702"/>
    <w:rsid w:val="00103C82"/>
    <w:rsid w:val="001252DB"/>
    <w:rsid w:val="00131376"/>
    <w:rsid w:val="00137356"/>
    <w:rsid w:val="00144D40"/>
    <w:rsid w:val="00145A21"/>
    <w:rsid w:val="00146529"/>
    <w:rsid w:val="00147063"/>
    <w:rsid w:val="00153757"/>
    <w:rsid w:val="00173ECD"/>
    <w:rsid w:val="001762F9"/>
    <w:rsid w:val="001861BF"/>
    <w:rsid w:val="001962B9"/>
    <w:rsid w:val="001A28F3"/>
    <w:rsid w:val="001B4E67"/>
    <w:rsid w:val="001F1809"/>
    <w:rsid w:val="0020666D"/>
    <w:rsid w:val="00207A04"/>
    <w:rsid w:val="00230EB6"/>
    <w:rsid w:val="00247E2F"/>
    <w:rsid w:val="0025423E"/>
    <w:rsid w:val="0026448D"/>
    <w:rsid w:val="002778BE"/>
    <w:rsid w:val="00292293"/>
    <w:rsid w:val="00296349"/>
    <w:rsid w:val="002D22DA"/>
    <w:rsid w:val="002D41E8"/>
    <w:rsid w:val="002F0EA3"/>
    <w:rsid w:val="00300138"/>
    <w:rsid w:val="00344D3C"/>
    <w:rsid w:val="003659E7"/>
    <w:rsid w:val="00373358"/>
    <w:rsid w:val="00373B89"/>
    <w:rsid w:val="00384042"/>
    <w:rsid w:val="003A0EFD"/>
    <w:rsid w:val="003D6262"/>
    <w:rsid w:val="0042160C"/>
    <w:rsid w:val="00435784"/>
    <w:rsid w:val="00441032"/>
    <w:rsid w:val="00446F29"/>
    <w:rsid w:val="00457CF7"/>
    <w:rsid w:val="00457EDC"/>
    <w:rsid w:val="00464116"/>
    <w:rsid w:val="00465DC6"/>
    <w:rsid w:val="00471023"/>
    <w:rsid w:val="0047139E"/>
    <w:rsid w:val="00473EC8"/>
    <w:rsid w:val="00492DAF"/>
    <w:rsid w:val="004A5039"/>
    <w:rsid w:val="004A5404"/>
    <w:rsid w:val="004B5B33"/>
    <w:rsid w:val="004C7C51"/>
    <w:rsid w:val="004E533F"/>
    <w:rsid w:val="004F3651"/>
    <w:rsid w:val="0050185E"/>
    <w:rsid w:val="005047EB"/>
    <w:rsid w:val="00504EF7"/>
    <w:rsid w:val="00515124"/>
    <w:rsid w:val="0052017E"/>
    <w:rsid w:val="00527F2F"/>
    <w:rsid w:val="0055146C"/>
    <w:rsid w:val="00562F30"/>
    <w:rsid w:val="00574C61"/>
    <w:rsid w:val="00581614"/>
    <w:rsid w:val="005A1901"/>
    <w:rsid w:val="005A216D"/>
    <w:rsid w:val="005B47AC"/>
    <w:rsid w:val="005C3A3C"/>
    <w:rsid w:val="005C56A7"/>
    <w:rsid w:val="005C7EF4"/>
    <w:rsid w:val="005D1788"/>
    <w:rsid w:val="005D7A91"/>
    <w:rsid w:val="005E51C4"/>
    <w:rsid w:val="005F3089"/>
    <w:rsid w:val="0060452D"/>
    <w:rsid w:val="006201D2"/>
    <w:rsid w:val="00643D31"/>
    <w:rsid w:val="00647CA5"/>
    <w:rsid w:val="006A2394"/>
    <w:rsid w:val="006A4458"/>
    <w:rsid w:val="006B6A2C"/>
    <w:rsid w:val="006C48BD"/>
    <w:rsid w:val="006D4F89"/>
    <w:rsid w:val="006E19E7"/>
    <w:rsid w:val="006E7FC2"/>
    <w:rsid w:val="006F1B1B"/>
    <w:rsid w:val="006F266D"/>
    <w:rsid w:val="006F3FE6"/>
    <w:rsid w:val="00707D40"/>
    <w:rsid w:val="0071124C"/>
    <w:rsid w:val="007405B8"/>
    <w:rsid w:val="00751B41"/>
    <w:rsid w:val="00755B94"/>
    <w:rsid w:val="00766B51"/>
    <w:rsid w:val="00774411"/>
    <w:rsid w:val="007749B9"/>
    <w:rsid w:val="00777776"/>
    <w:rsid w:val="007878AF"/>
    <w:rsid w:val="00795101"/>
    <w:rsid w:val="007B2B10"/>
    <w:rsid w:val="007B3AFF"/>
    <w:rsid w:val="007B7878"/>
    <w:rsid w:val="007D0B9D"/>
    <w:rsid w:val="007E4AEB"/>
    <w:rsid w:val="007F0F3E"/>
    <w:rsid w:val="007F2425"/>
    <w:rsid w:val="007F2DD4"/>
    <w:rsid w:val="008041B0"/>
    <w:rsid w:val="00811CD8"/>
    <w:rsid w:val="0082038A"/>
    <w:rsid w:val="008228F2"/>
    <w:rsid w:val="008255A6"/>
    <w:rsid w:val="00840DE2"/>
    <w:rsid w:val="0084454B"/>
    <w:rsid w:val="00847E0B"/>
    <w:rsid w:val="008500DB"/>
    <w:rsid w:val="00856221"/>
    <w:rsid w:val="00862914"/>
    <w:rsid w:val="0088392A"/>
    <w:rsid w:val="00885882"/>
    <w:rsid w:val="00914338"/>
    <w:rsid w:val="00933599"/>
    <w:rsid w:val="00943D3E"/>
    <w:rsid w:val="0095114D"/>
    <w:rsid w:val="00957391"/>
    <w:rsid w:val="0096321F"/>
    <w:rsid w:val="0096729D"/>
    <w:rsid w:val="009715FD"/>
    <w:rsid w:val="00972BD0"/>
    <w:rsid w:val="00973819"/>
    <w:rsid w:val="00974B16"/>
    <w:rsid w:val="009804AA"/>
    <w:rsid w:val="009861A6"/>
    <w:rsid w:val="00992B03"/>
    <w:rsid w:val="009A409F"/>
    <w:rsid w:val="009F1C02"/>
    <w:rsid w:val="009F6019"/>
    <w:rsid w:val="00A02487"/>
    <w:rsid w:val="00A070CF"/>
    <w:rsid w:val="00A32939"/>
    <w:rsid w:val="00A35391"/>
    <w:rsid w:val="00A42D52"/>
    <w:rsid w:val="00A468A7"/>
    <w:rsid w:val="00A50F57"/>
    <w:rsid w:val="00A5220A"/>
    <w:rsid w:val="00A5541B"/>
    <w:rsid w:val="00A56A6D"/>
    <w:rsid w:val="00A613C6"/>
    <w:rsid w:val="00A65BF8"/>
    <w:rsid w:val="00A709AD"/>
    <w:rsid w:val="00A70F79"/>
    <w:rsid w:val="00A75538"/>
    <w:rsid w:val="00AB409C"/>
    <w:rsid w:val="00AB5003"/>
    <w:rsid w:val="00AC7C1C"/>
    <w:rsid w:val="00AD0929"/>
    <w:rsid w:val="00AD3BDB"/>
    <w:rsid w:val="00AF5BE3"/>
    <w:rsid w:val="00AF5FEC"/>
    <w:rsid w:val="00AF706E"/>
    <w:rsid w:val="00B07864"/>
    <w:rsid w:val="00B1460B"/>
    <w:rsid w:val="00B4029D"/>
    <w:rsid w:val="00B505F4"/>
    <w:rsid w:val="00B51E99"/>
    <w:rsid w:val="00B53F59"/>
    <w:rsid w:val="00B640E0"/>
    <w:rsid w:val="00B67551"/>
    <w:rsid w:val="00B70E6E"/>
    <w:rsid w:val="00BA7EA2"/>
    <w:rsid w:val="00BB6A5B"/>
    <w:rsid w:val="00BC0DA8"/>
    <w:rsid w:val="00BC17A6"/>
    <w:rsid w:val="00BC589A"/>
    <w:rsid w:val="00BD452D"/>
    <w:rsid w:val="00BF1782"/>
    <w:rsid w:val="00BF6B66"/>
    <w:rsid w:val="00BF6BD2"/>
    <w:rsid w:val="00C07C99"/>
    <w:rsid w:val="00C11BD3"/>
    <w:rsid w:val="00C15959"/>
    <w:rsid w:val="00C26502"/>
    <w:rsid w:val="00C36FD1"/>
    <w:rsid w:val="00C40BAB"/>
    <w:rsid w:val="00C570DD"/>
    <w:rsid w:val="00C711E1"/>
    <w:rsid w:val="00C727E3"/>
    <w:rsid w:val="00C73147"/>
    <w:rsid w:val="00C73886"/>
    <w:rsid w:val="00C818D7"/>
    <w:rsid w:val="00C91001"/>
    <w:rsid w:val="00CA24C1"/>
    <w:rsid w:val="00CA32D7"/>
    <w:rsid w:val="00CA7044"/>
    <w:rsid w:val="00CB0E98"/>
    <w:rsid w:val="00CC54BD"/>
    <w:rsid w:val="00CE0DEF"/>
    <w:rsid w:val="00D00F64"/>
    <w:rsid w:val="00D04319"/>
    <w:rsid w:val="00D207E7"/>
    <w:rsid w:val="00D22EDF"/>
    <w:rsid w:val="00D36861"/>
    <w:rsid w:val="00D642CA"/>
    <w:rsid w:val="00D76B12"/>
    <w:rsid w:val="00D85E3A"/>
    <w:rsid w:val="00D87BA9"/>
    <w:rsid w:val="00DA407B"/>
    <w:rsid w:val="00DB5EFE"/>
    <w:rsid w:val="00DC3B24"/>
    <w:rsid w:val="00DD50F0"/>
    <w:rsid w:val="00DD5EFD"/>
    <w:rsid w:val="00DE0A21"/>
    <w:rsid w:val="00DF28A8"/>
    <w:rsid w:val="00E2201D"/>
    <w:rsid w:val="00E2258C"/>
    <w:rsid w:val="00E327A4"/>
    <w:rsid w:val="00E41BC3"/>
    <w:rsid w:val="00E6592B"/>
    <w:rsid w:val="00E7480B"/>
    <w:rsid w:val="00E774EA"/>
    <w:rsid w:val="00EA3112"/>
    <w:rsid w:val="00EA5765"/>
    <w:rsid w:val="00EB1039"/>
    <w:rsid w:val="00EB41DD"/>
    <w:rsid w:val="00EB4FD1"/>
    <w:rsid w:val="00EC31C5"/>
    <w:rsid w:val="00ED75C9"/>
    <w:rsid w:val="00EF7FE8"/>
    <w:rsid w:val="00F00C36"/>
    <w:rsid w:val="00F05755"/>
    <w:rsid w:val="00F14056"/>
    <w:rsid w:val="00F14CC2"/>
    <w:rsid w:val="00F14FB1"/>
    <w:rsid w:val="00F1674C"/>
    <w:rsid w:val="00F22457"/>
    <w:rsid w:val="00F25498"/>
    <w:rsid w:val="00F35745"/>
    <w:rsid w:val="00F6408A"/>
    <w:rsid w:val="00F641FB"/>
    <w:rsid w:val="00FA2308"/>
    <w:rsid w:val="00FC0DC6"/>
    <w:rsid w:val="00FD2CE4"/>
    <w:rsid w:val="00FD4E8D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93084F"/>
  <w15:docId w15:val="{F6335716-989C-4E02-B793-ABABF7A8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D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2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39"/>
  </w:style>
  <w:style w:type="paragraph" w:styleId="Piedepgina">
    <w:name w:val="footer"/>
    <w:basedOn w:val="Normal"/>
    <w:link w:val="PiedepginaCar"/>
    <w:uiPriority w:val="99"/>
    <w:unhideWhenUsed/>
    <w:rsid w:val="00A32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39"/>
  </w:style>
  <w:style w:type="paragraph" w:styleId="Textodeglobo">
    <w:name w:val="Balloon Text"/>
    <w:basedOn w:val="Normal"/>
    <w:link w:val="TextodegloboCar"/>
    <w:uiPriority w:val="99"/>
    <w:semiHidden/>
    <w:unhideWhenUsed/>
    <w:rsid w:val="007405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5B8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711E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11E1"/>
    <w:pPr>
      <w:spacing w:after="200"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11E1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11E1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C711E1"/>
    <w:rPr>
      <w:vertAlign w:val="superscript"/>
    </w:rPr>
  </w:style>
  <w:style w:type="table" w:styleId="Tablaconcuadrcula">
    <w:name w:val="Table Grid"/>
    <w:basedOn w:val="Tablanormal"/>
    <w:uiPriority w:val="59"/>
    <w:rsid w:val="00C711E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7E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659E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6C50-310F-4061-9C29-27289D42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Guillen</dc:creator>
  <cp:keywords/>
  <dc:description/>
  <cp:lastModifiedBy>Marie Claude Brunel Manse</cp:lastModifiedBy>
  <cp:revision>35</cp:revision>
  <dcterms:created xsi:type="dcterms:W3CDTF">2020-01-28T20:54:00Z</dcterms:created>
  <dcterms:modified xsi:type="dcterms:W3CDTF">2020-02-14T20:38:00Z</dcterms:modified>
</cp:coreProperties>
</file>