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4E11" w14:textId="27E5FE26" w:rsidR="00562186" w:rsidRPr="00562186" w:rsidRDefault="00562186" w:rsidP="00562186">
      <w:pPr>
        <w:tabs>
          <w:tab w:val="left" w:pos="4111"/>
        </w:tabs>
        <w:adjustRightInd w:val="0"/>
        <w:spacing w:line="276" w:lineRule="auto"/>
        <w:rPr>
          <w:rFonts w:ascii="Candara" w:eastAsia="ArialMT" w:hAnsi="Candara" w:cs="Arial"/>
          <w:b/>
          <w:iCs/>
          <w:sz w:val="28"/>
          <w:szCs w:val="28"/>
        </w:rPr>
      </w:pPr>
      <w:r w:rsidRPr="00562186">
        <w:rPr>
          <w:rFonts w:ascii="Candara" w:eastAsia="ArialMT" w:hAnsi="Candara" w:cs="Arial"/>
          <w:b/>
          <w:iCs/>
          <w:sz w:val="28"/>
          <w:szCs w:val="28"/>
        </w:rPr>
        <w:t>VII. Desempeño institucional</w:t>
      </w:r>
    </w:p>
    <w:p w14:paraId="500C61BD" w14:textId="77777777" w:rsidR="00562186" w:rsidRPr="00562186" w:rsidRDefault="00562186" w:rsidP="00562186">
      <w:pPr>
        <w:tabs>
          <w:tab w:val="left" w:pos="4111"/>
        </w:tabs>
        <w:adjustRightInd w:val="0"/>
        <w:spacing w:line="276" w:lineRule="auto"/>
        <w:jc w:val="center"/>
        <w:rPr>
          <w:rFonts w:ascii="Candara" w:eastAsia="ArialMT" w:hAnsi="Candara" w:cs="Arial"/>
          <w:b/>
          <w:i/>
          <w:sz w:val="28"/>
          <w:szCs w:val="28"/>
          <w:u w:val="single"/>
        </w:rPr>
      </w:pPr>
    </w:p>
    <w:p w14:paraId="6BD96477" w14:textId="154A8570" w:rsidR="00FD2BF4" w:rsidRPr="00562186" w:rsidRDefault="00562186" w:rsidP="003C6442">
      <w:pPr>
        <w:tabs>
          <w:tab w:val="left" w:pos="4111"/>
        </w:tabs>
        <w:adjustRightInd w:val="0"/>
        <w:spacing w:line="276" w:lineRule="auto"/>
        <w:jc w:val="both"/>
        <w:rPr>
          <w:rFonts w:ascii="Candara" w:eastAsia="ArialMT" w:hAnsi="Candara" w:cs="Arial"/>
          <w:b/>
          <w:sz w:val="22"/>
          <w:szCs w:val="22"/>
        </w:rPr>
      </w:pPr>
      <w:r w:rsidRPr="00562186">
        <w:rPr>
          <w:rFonts w:ascii="Candara" w:eastAsia="ArialMT" w:hAnsi="Candara" w:cs="Arial"/>
          <w:b/>
          <w:iCs/>
          <w:sz w:val="22"/>
          <w:szCs w:val="22"/>
        </w:rPr>
        <w:t>f)</w:t>
      </w:r>
      <w:r w:rsidR="00495D90" w:rsidRPr="00562186">
        <w:rPr>
          <w:rFonts w:ascii="Candara" w:eastAsia="ArialMT" w:hAnsi="Candara" w:cs="Arial"/>
          <w:b/>
          <w:iCs/>
          <w:sz w:val="22"/>
          <w:szCs w:val="22"/>
        </w:rPr>
        <w:t xml:space="preserve"> </w:t>
      </w:r>
      <w:r w:rsidR="003C6442">
        <w:rPr>
          <w:rFonts w:ascii="Candara" w:eastAsia="ArialMT" w:hAnsi="Candara" w:cs="Arial"/>
          <w:b/>
          <w:iCs/>
          <w:sz w:val="22"/>
          <w:szCs w:val="22"/>
        </w:rPr>
        <w:t>A</w:t>
      </w:r>
      <w:r w:rsidR="003C6442" w:rsidRPr="003C6442">
        <w:rPr>
          <w:rFonts w:ascii="Candara" w:eastAsia="ArialMT" w:hAnsi="Candara" w:cs="Arial"/>
          <w:b/>
          <w:iCs/>
          <w:sz w:val="22"/>
          <w:szCs w:val="22"/>
        </w:rPr>
        <w:t xml:space="preserve">cciones </w:t>
      </w:r>
      <w:r w:rsidR="003C6442">
        <w:rPr>
          <w:rFonts w:ascii="Candara" w:eastAsia="ArialMT" w:hAnsi="Candara" w:cs="Arial"/>
          <w:b/>
          <w:iCs/>
          <w:sz w:val="22"/>
          <w:szCs w:val="22"/>
        </w:rPr>
        <w:t xml:space="preserve">para el </w:t>
      </w:r>
      <w:r w:rsidR="003C6442" w:rsidRPr="003C6442">
        <w:rPr>
          <w:rFonts w:ascii="Candara" w:eastAsia="ArialMT" w:hAnsi="Candara" w:cs="Arial"/>
          <w:b/>
          <w:iCs/>
          <w:sz w:val="22"/>
          <w:szCs w:val="22"/>
        </w:rPr>
        <w:t>cumplimiento de la Ley de Austeridad Republicana</w:t>
      </w:r>
    </w:p>
    <w:p w14:paraId="4EFDF23C" w14:textId="77777777" w:rsidR="003C6442" w:rsidRDefault="003C6442" w:rsidP="00562186">
      <w:pPr>
        <w:pStyle w:val="Texto"/>
        <w:spacing w:after="0" w:line="276" w:lineRule="auto"/>
        <w:ind w:firstLine="0"/>
        <w:rPr>
          <w:rFonts w:ascii="Candara" w:hAnsi="Candara"/>
          <w:b/>
          <w:sz w:val="22"/>
          <w:lang w:val="es-ES_tradnl"/>
        </w:rPr>
      </w:pPr>
      <w:bookmarkStart w:id="0" w:name="OLE_LINK1"/>
    </w:p>
    <w:p w14:paraId="0DF0149B" w14:textId="7F42CEAB" w:rsidR="00F6651A" w:rsidRPr="00562186" w:rsidRDefault="00F6651A" w:rsidP="00562186">
      <w:pPr>
        <w:pStyle w:val="Texto"/>
        <w:spacing w:after="0" w:line="276" w:lineRule="auto"/>
        <w:ind w:firstLine="0"/>
        <w:rPr>
          <w:rFonts w:ascii="Candara" w:hAnsi="Candara"/>
          <w:b/>
          <w:sz w:val="22"/>
          <w:lang w:val="es-ES_tradnl"/>
        </w:rPr>
      </w:pPr>
      <w:r w:rsidRPr="00562186">
        <w:rPr>
          <w:rFonts w:ascii="Candara" w:hAnsi="Candara"/>
          <w:b/>
          <w:sz w:val="22"/>
          <w:lang w:val="es-ES_tradnl"/>
        </w:rPr>
        <w:t xml:space="preserve">Traslado de </w:t>
      </w:r>
      <w:r w:rsidR="00562186">
        <w:rPr>
          <w:rFonts w:ascii="Candara" w:hAnsi="Candara"/>
          <w:b/>
          <w:sz w:val="22"/>
          <w:lang w:val="es-ES_tradnl"/>
        </w:rPr>
        <w:t>p</w:t>
      </w:r>
      <w:r w:rsidRPr="00562186">
        <w:rPr>
          <w:rFonts w:ascii="Candara" w:hAnsi="Candara"/>
          <w:b/>
          <w:sz w:val="22"/>
          <w:lang w:val="es-ES_tradnl"/>
        </w:rPr>
        <w:t>ersonal</w:t>
      </w:r>
    </w:p>
    <w:p w14:paraId="6A58EA4A" w14:textId="14FE8118" w:rsidR="00F6651A" w:rsidRPr="00562186" w:rsidRDefault="003C6442" w:rsidP="00EA0FAB">
      <w:pPr>
        <w:pStyle w:val="Texto"/>
        <w:spacing w:after="0" w:line="276" w:lineRule="auto"/>
        <w:ind w:firstLine="0"/>
        <w:rPr>
          <w:rFonts w:ascii="Candara" w:hAnsi="Candara"/>
          <w:sz w:val="22"/>
          <w:lang w:val="es-ES_tradnl"/>
        </w:rPr>
      </w:pPr>
      <w:r>
        <w:rPr>
          <w:rFonts w:ascii="Candara" w:hAnsi="Candara"/>
          <w:sz w:val="22"/>
          <w:lang w:val="es-ES_tradnl"/>
        </w:rPr>
        <w:t xml:space="preserve">A partir de la creación del Sistema Integrado de Gestión Administrativa (SIGA), </w:t>
      </w:r>
      <w:r w:rsidR="00681238">
        <w:rPr>
          <w:rFonts w:ascii="Candara" w:hAnsi="Candara"/>
          <w:sz w:val="22"/>
          <w:lang w:val="es-ES_tradnl"/>
        </w:rPr>
        <w:t xml:space="preserve">se tiene un mejor control de los vehículos y </w:t>
      </w:r>
      <w:r>
        <w:rPr>
          <w:rFonts w:ascii="Candara" w:hAnsi="Candara"/>
          <w:sz w:val="22"/>
          <w:lang w:val="es-ES_tradnl"/>
        </w:rPr>
        <w:t>s</w:t>
      </w:r>
      <w:r w:rsidR="00F6651A" w:rsidRPr="00562186">
        <w:rPr>
          <w:rFonts w:ascii="Candara" w:hAnsi="Candara"/>
          <w:sz w:val="22"/>
          <w:lang w:val="es-ES_tradnl"/>
        </w:rPr>
        <w:t xml:space="preserve">e </w:t>
      </w:r>
      <w:r>
        <w:rPr>
          <w:rFonts w:ascii="Candara" w:hAnsi="Candara"/>
          <w:sz w:val="22"/>
          <w:lang w:val="es-ES_tradnl"/>
        </w:rPr>
        <w:t>están</w:t>
      </w:r>
      <w:r w:rsidR="00F6651A" w:rsidRPr="00562186">
        <w:rPr>
          <w:rFonts w:ascii="Candara" w:hAnsi="Candara"/>
          <w:sz w:val="22"/>
          <w:lang w:val="es-ES_tradnl"/>
        </w:rPr>
        <w:t xml:space="preserve"> organiza</w:t>
      </w:r>
      <w:r>
        <w:rPr>
          <w:rFonts w:ascii="Candara" w:hAnsi="Candara"/>
          <w:sz w:val="22"/>
          <w:lang w:val="es-ES_tradnl"/>
        </w:rPr>
        <w:t>n</w:t>
      </w:r>
      <w:r w:rsidR="00F6651A" w:rsidRPr="00562186">
        <w:rPr>
          <w:rFonts w:ascii="Candara" w:hAnsi="Candara"/>
          <w:sz w:val="22"/>
          <w:lang w:val="es-ES_tradnl"/>
        </w:rPr>
        <w:t>do rutas y horarios de servicio de traslado de</w:t>
      </w:r>
      <w:r>
        <w:rPr>
          <w:rFonts w:ascii="Candara" w:hAnsi="Candara"/>
          <w:sz w:val="22"/>
          <w:lang w:val="es-ES_tradnl"/>
        </w:rPr>
        <w:t>l</w:t>
      </w:r>
      <w:r w:rsidR="00F6651A" w:rsidRPr="00562186">
        <w:rPr>
          <w:rFonts w:ascii="Candara" w:hAnsi="Candara"/>
          <w:sz w:val="22"/>
          <w:lang w:val="es-ES_tradnl"/>
        </w:rPr>
        <w:t xml:space="preserve"> personal</w:t>
      </w:r>
      <w:r>
        <w:rPr>
          <w:rFonts w:ascii="Candara" w:hAnsi="Candara"/>
          <w:sz w:val="22"/>
          <w:lang w:val="es-ES_tradnl"/>
        </w:rPr>
        <w:t>, para</w:t>
      </w:r>
      <w:r w:rsidR="00BC352E" w:rsidRPr="00562186">
        <w:rPr>
          <w:rFonts w:ascii="Candara" w:hAnsi="Candara"/>
          <w:sz w:val="22"/>
          <w:lang w:val="es-ES_tradnl"/>
        </w:rPr>
        <w:t xml:space="preserve"> compartir vehículos</w:t>
      </w:r>
      <w:r>
        <w:rPr>
          <w:rFonts w:ascii="Candara" w:hAnsi="Candara"/>
          <w:sz w:val="22"/>
          <w:lang w:val="es-ES_tradnl"/>
        </w:rPr>
        <w:t xml:space="preserve"> y </w:t>
      </w:r>
      <w:r w:rsidR="00676C29" w:rsidRPr="00562186">
        <w:rPr>
          <w:rFonts w:ascii="Candara" w:hAnsi="Candara"/>
          <w:sz w:val="22"/>
          <w:lang w:val="es-ES_tradnl"/>
        </w:rPr>
        <w:t xml:space="preserve">así </w:t>
      </w:r>
      <w:r w:rsidR="00F6651A" w:rsidRPr="00562186">
        <w:rPr>
          <w:rFonts w:ascii="Candara" w:hAnsi="Candara"/>
          <w:sz w:val="22"/>
          <w:lang w:val="es-ES_tradnl"/>
        </w:rPr>
        <w:t>disminuir el consumo de combustible</w:t>
      </w:r>
      <w:r>
        <w:rPr>
          <w:rFonts w:ascii="Candara" w:hAnsi="Candara"/>
          <w:sz w:val="22"/>
          <w:lang w:val="es-ES_tradnl"/>
        </w:rPr>
        <w:t xml:space="preserve"> y mejorar la eficiencia, en particular para los vehículos oficiales y en los traslados fuera del horario laboral</w:t>
      </w:r>
      <w:r w:rsidR="00F6651A" w:rsidRPr="00562186">
        <w:rPr>
          <w:rFonts w:ascii="Candara" w:hAnsi="Candara"/>
          <w:sz w:val="22"/>
          <w:lang w:val="es-ES_tradnl"/>
        </w:rPr>
        <w:t xml:space="preserve"> (conductores).</w:t>
      </w:r>
    </w:p>
    <w:p w14:paraId="70211449" w14:textId="77777777" w:rsidR="00F6651A" w:rsidRPr="00562186" w:rsidRDefault="00F6651A" w:rsidP="00562186">
      <w:pPr>
        <w:pStyle w:val="Texto"/>
        <w:spacing w:after="0" w:line="276" w:lineRule="auto"/>
        <w:ind w:firstLine="0"/>
        <w:rPr>
          <w:rFonts w:ascii="Candara" w:hAnsi="Candara"/>
          <w:color w:val="FF0000"/>
          <w:sz w:val="22"/>
          <w:lang w:val="es-ES_tradnl"/>
        </w:rPr>
      </w:pPr>
    </w:p>
    <w:p w14:paraId="40143AF1" w14:textId="22FACFC6" w:rsidR="00F6651A" w:rsidRPr="00562186" w:rsidRDefault="00F6651A" w:rsidP="00562186">
      <w:pPr>
        <w:pStyle w:val="Texto"/>
        <w:spacing w:after="0" w:line="276" w:lineRule="auto"/>
        <w:ind w:firstLine="0"/>
        <w:rPr>
          <w:rFonts w:ascii="Candara" w:hAnsi="Candara"/>
          <w:b/>
          <w:sz w:val="22"/>
          <w:lang w:val="es-ES_tradnl"/>
        </w:rPr>
      </w:pPr>
      <w:r w:rsidRPr="00562186">
        <w:rPr>
          <w:rFonts w:ascii="Candara" w:hAnsi="Candara"/>
          <w:b/>
          <w:sz w:val="22"/>
          <w:lang w:val="es-ES_tradnl"/>
        </w:rPr>
        <w:t xml:space="preserve">Reducción de </w:t>
      </w:r>
      <w:r w:rsidR="003C6442">
        <w:rPr>
          <w:rFonts w:ascii="Candara" w:hAnsi="Candara"/>
          <w:b/>
          <w:sz w:val="22"/>
          <w:lang w:val="es-ES_tradnl"/>
        </w:rPr>
        <w:t>g</w:t>
      </w:r>
      <w:r w:rsidRPr="00562186">
        <w:rPr>
          <w:rFonts w:ascii="Candara" w:hAnsi="Candara"/>
          <w:b/>
          <w:sz w:val="22"/>
          <w:lang w:val="es-ES_tradnl"/>
        </w:rPr>
        <w:t xml:space="preserve">astos en </w:t>
      </w:r>
      <w:r w:rsidR="00562186">
        <w:rPr>
          <w:rFonts w:ascii="Candara" w:hAnsi="Candara"/>
          <w:b/>
          <w:sz w:val="22"/>
          <w:lang w:val="es-ES_tradnl"/>
        </w:rPr>
        <w:t>v</w:t>
      </w:r>
      <w:r w:rsidRPr="00562186">
        <w:rPr>
          <w:rFonts w:ascii="Candara" w:hAnsi="Candara"/>
          <w:b/>
          <w:sz w:val="22"/>
          <w:lang w:val="es-ES_tradnl"/>
        </w:rPr>
        <w:t xml:space="preserve">iáticos y </w:t>
      </w:r>
      <w:r w:rsidR="00562186">
        <w:rPr>
          <w:rFonts w:ascii="Candara" w:hAnsi="Candara"/>
          <w:b/>
          <w:sz w:val="22"/>
          <w:lang w:val="es-ES_tradnl"/>
        </w:rPr>
        <w:t>t</w:t>
      </w:r>
      <w:r w:rsidRPr="00562186">
        <w:rPr>
          <w:rFonts w:ascii="Candara" w:hAnsi="Candara"/>
          <w:b/>
          <w:sz w:val="22"/>
          <w:lang w:val="es-ES_tradnl"/>
        </w:rPr>
        <w:t>ransportación</w:t>
      </w:r>
    </w:p>
    <w:p w14:paraId="447F9BCB" w14:textId="36AA3FE4" w:rsidR="00F6651A" w:rsidRPr="00562186" w:rsidRDefault="00F6651A" w:rsidP="00EA0FAB">
      <w:pPr>
        <w:pStyle w:val="Texto"/>
        <w:spacing w:after="0" w:line="276" w:lineRule="auto"/>
        <w:ind w:firstLine="0"/>
        <w:rPr>
          <w:rFonts w:ascii="Candara" w:hAnsi="Candara"/>
          <w:sz w:val="22"/>
          <w:lang w:val="es-ES_tradnl"/>
        </w:rPr>
      </w:pPr>
      <w:r w:rsidRPr="00562186">
        <w:rPr>
          <w:rFonts w:ascii="Candara" w:hAnsi="Candara"/>
          <w:i/>
          <w:sz w:val="22"/>
          <w:lang w:val="es-ES_tradnl"/>
        </w:rPr>
        <w:t xml:space="preserve">Se </w:t>
      </w:r>
      <w:r w:rsidRPr="00562186">
        <w:rPr>
          <w:rFonts w:ascii="Candara" w:hAnsi="Candara"/>
          <w:sz w:val="22"/>
          <w:lang w:val="es-ES_tradnl"/>
        </w:rPr>
        <w:t>promovió el uso de equipo de Videoconferencias para evitar que la mayoría de personal (</w:t>
      </w:r>
      <w:r w:rsidR="00EA0FAB">
        <w:rPr>
          <w:rFonts w:ascii="Candara" w:hAnsi="Candara"/>
          <w:sz w:val="22"/>
          <w:lang w:val="es-ES_tradnl"/>
        </w:rPr>
        <w:t>d</w:t>
      </w:r>
      <w:r w:rsidRPr="00562186">
        <w:rPr>
          <w:rFonts w:ascii="Candara" w:hAnsi="Candara"/>
          <w:sz w:val="22"/>
          <w:lang w:val="es-ES_tradnl"/>
        </w:rPr>
        <w:t xml:space="preserve">irectivo, </w:t>
      </w:r>
      <w:r w:rsidR="00EA0FAB">
        <w:rPr>
          <w:rFonts w:ascii="Candara" w:hAnsi="Candara"/>
          <w:sz w:val="22"/>
          <w:lang w:val="es-ES_tradnl"/>
        </w:rPr>
        <w:t>de investigación</w:t>
      </w:r>
      <w:r w:rsidRPr="00562186">
        <w:rPr>
          <w:rFonts w:ascii="Candara" w:hAnsi="Candara"/>
          <w:sz w:val="22"/>
          <w:lang w:val="es-ES_tradnl"/>
        </w:rPr>
        <w:t xml:space="preserve"> y </w:t>
      </w:r>
      <w:r w:rsidR="00EA0FAB">
        <w:rPr>
          <w:rFonts w:ascii="Candara" w:hAnsi="Candara"/>
          <w:sz w:val="22"/>
          <w:lang w:val="es-ES_tradnl"/>
        </w:rPr>
        <w:t>de á</w:t>
      </w:r>
      <w:r w:rsidRPr="00562186">
        <w:rPr>
          <w:rFonts w:ascii="Candara" w:hAnsi="Candara"/>
          <w:sz w:val="22"/>
          <w:lang w:val="es-ES_tradnl"/>
        </w:rPr>
        <w:t>reas de apoyo) que participa en</w:t>
      </w:r>
      <w:r w:rsidR="00EA0FAB">
        <w:rPr>
          <w:rFonts w:ascii="Candara" w:hAnsi="Candara"/>
          <w:sz w:val="22"/>
          <w:lang w:val="es-ES_tradnl"/>
        </w:rPr>
        <w:t xml:space="preserve"> reuniones,</w:t>
      </w:r>
      <w:r w:rsidRPr="00562186">
        <w:rPr>
          <w:rFonts w:ascii="Candara" w:hAnsi="Candara"/>
          <w:sz w:val="22"/>
          <w:lang w:val="es-ES_tradnl"/>
        </w:rPr>
        <w:t xml:space="preserve"> cursos, talleres, capac</w:t>
      </w:r>
      <w:r w:rsidR="003F73A9" w:rsidRPr="00562186">
        <w:rPr>
          <w:rFonts w:ascii="Candara" w:hAnsi="Candara"/>
          <w:sz w:val="22"/>
          <w:lang w:val="es-ES_tradnl"/>
        </w:rPr>
        <w:t>itaciones</w:t>
      </w:r>
      <w:r w:rsidRPr="00562186">
        <w:rPr>
          <w:rFonts w:ascii="Candara" w:hAnsi="Candara"/>
          <w:sz w:val="22"/>
          <w:lang w:val="es-ES_tradnl"/>
        </w:rPr>
        <w:t>, seminarios, etc. utilice algún tipo de transporte, sustituyendo el trabajo presencial por enlaces remotos digitales</w:t>
      </w:r>
      <w:r w:rsidR="00EA0FAB">
        <w:rPr>
          <w:rFonts w:ascii="Candara" w:hAnsi="Candara"/>
          <w:sz w:val="22"/>
          <w:lang w:val="es-ES_tradnl"/>
        </w:rPr>
        <w:t>. C</w:t>
      </w:r>
      <w:r w:rsidRPr="00562186">
        <w:rPr>
          <w:rFonts w:ascii="Candara" w:hAnsi="Candara"/>
          <w:sz w:val="22"/>
          <w:lang w:val="es-ES_tradnl"/>
        </w:rPr>
        <w:t xml:space="preserve">omo se </w:t>
      </w:r>
      <w:r w:rsidR="00EA0FAB">
        <w:rPr>
          <w:rFonts w:ascii="Candara" w:hAnsi="Candara"/>
          <w:sz w:val="22"/>
          <w:lang w:val="es-ES_tradnl"/>
        </w:rPr>
        <w:t xml:space="preserve">muestra en las gráficas siguientes, </w:t>
      </w:r>
      <w:r w:rsidRPr="00562186">
        <w:rPr>
          <w:rFonts w:ascii="Candara" w:hAnsi="Candara"/>
          <w:sz w:val="22"/>
          <w:lang w:val="es-ES_tradnl"/>
        </w:rPr>
        <w:t xml:space="preserve">el uso de videoconferencias </w:t>
      </w:r>
      <w:r w:rsidR="003A3E6B" w:rsidRPr="00562186">
        <w:rPr>
          <w:rFonts w:ascii="Candara" w:hAnsi="Candara"/>
          <w:sz w:val="22"/>
          <w:lang w:val="es-ES_tradnl"/>
        </w:rPr>
        <w:t>fue</w:t>
      </w:r>
      <w:r w:rsidRPr="00562186">
        <w:rPr>
          <w:rFonts w:ascii="Candara" w:hAnsi="Candara"/>
          <w:sz w:val="22"/>
          <w:lang w:val="es-ES_tradnl"/>
        </w:rPr>
        <w:t xml:space="preserve"> </w:t>
      </w:r>
      <w:r w:rsidR="00EA0FAB">
        <w:rPr>
          <w:rFonts w:ascii="Candara" w:hAnsi="Candara"/>
          <w:sz w:val="22"/>
          <w:lang w:val="es-ES_tradnl"/>
        </w:rPr>
        <w:t>amplio en 2019.</w:t>
      </w:r>
      <w:r w:rsidRPr="00562186">
        <w:rPr>
          <w:rFonts w:ascii="Candara" w:hAnsi="Candara"/>
          <w:sz w:val="22"/>
          <w:lang w:val="es-ES_tradnl"/>
        </w:rPr>
        <w:t xml:space="preserve"> </w:t>
      </w:r>
      <w:r w:rsidR="00EA0FAB">
        <w:rPr>
          <w:rFonts w:ascii="Candara" w:hAnsi="Candara"/>
          <w:sz w:val="22"/>
          <w:lang w:val="es-ES_tradnl"/>
        </w:rPr>
        <w:t>Se realizaron</w:t>
      </w:r>
      <w:r w:rsidRPr="00562186">
        <w:rPr>
          <w:rFonts w:ascii="Candara" w:hAnsi="Candara"/>
          <w:sz w:val="22"/>
          <w:lang w:val="es-ES_tradnl"/>
        </w:rPr>
        <w:t xml:space="preserve"> </w:t>
      </w:r>
      <w:r w:rsidR="00C532AC" w:rsidRPr="00562186">
        <w:rPr>
          <w:rFonts w:ascii="Candara" w:hAnsi="Candara"/>
          <w:sz w:val="22"/>
          <w:lang w:val="es-ES_tradnl"/>
        </w:rPr>
        <w:t>2</w:t>
      </w:r>
      <w:r w:rsidR="003C4E6E" w:rsidRPr="00562186">
        <w:rPr>
          <w:rFonts w:ascii="Candara" w:hAnsi="Candara"/>
          <w:sz w:val="22"/>
          <w:lang w:val="es-ES_tradnl"/>
        </w:rPr>
        <w:t>,</w:t>
      </w:r>
      <w:r w:rsidR="00C532AC" w:rsidRPr="00562186">
        <w:rPr>
          <w:rFonts w:ascii="Candara" w:hAnsi="Candara"/>
          <w:sz w:val="22"/>
          <w:lang w:val="es-ES_tradnl"/>
        </w:rPr>
        <w:t>626</w:t>
      </w:r>
      <w:r w:rsidR="00580850" w:rsidRPr="00562186">
        <w:rPr>
          <w:rFonts w:ascii="Candara" w:hAnsi="Candara"/>
          <w:sz w:val="22"/>
          <w:lang w:val="es-ES_tradnl"/>
        </w:rPr>
        <w:t xml:space="preserve"> sesiones por medio de v</w:t>
      </w:r>
      <w:r w:rsidR="003C4E6E" w:rsidRPr="00562186">
        <w:rPr>
          <w:rFonts w:ascii="Candara" w:hAnsi="Candara"/>
          <w:sz w:val="22"/>
          <w:lang w:val="es-ES_tradnl"/>
        </w:rPr>
        <w:t>ideoconferencias</w:t>
      </w:r>
      <w:r w:rsidRPr="00562186">
        <w:rPr>
          <w:rFonts w:ascii="Candara" w:hAnsi="Candara"/>
          <w:sz w:val="22"/>
          <w:lang w:val="es-ES_tradnl"/>
        </w:rPr>
        <w:t xml:space="preserve"> con una gran afluencia de participantes</w:t>
      </w:r>
      <w:r w:rsidR="00A47D60" w:rsidRPr="00562186">
        <w:rPr>
          <w:rFonts w:ascii="Candara" w:hAnsi="Candara"/>
          <w:sz w:val="22"/>
          <w:lang w:val="es-ES_tradnl"/>
        </w:rPr>
        <w:t xml:space="preserve"> siendo un total de 33,300 participantes</w:t>
      </w:r>
      <w:r w:rsidR="00EA0FAB">
        <w:rPr>
          <w:rFonts w:ascii="Candara" w:hAnsi="Candara"/>
          <w:sz w:val="22"/>
          <w:lang w:val="es-ES_tradnl"/>
        </w:rPr>
        <w:t>. El</w:t>
      </w:r>
      <w:r w:rsidR="00F20422" w:rsidRPr="00562186">
        <w:rPr>
          <w:rFonts w:ascii="Candara" w:hAnsi="Candara"/>
          <w:sz w:val="22"/>
          <w:lang w:val="es-ES_tradnl"/>
        </w:rPr>
        <w:t xml:space="preserve"> total de </w:t>
      </w:r>
      <w:r w:rsidR="00EA0FAB">
        <w:rPr>
          <w:rFonts w:ascii="Candara" w:hAnsi="Candara"/>
          <w:sz w:val="22"/>
          <w:lang w:val="es-ES_tradnl"/>
        </w:rPr>
        <w:t xml:space="preserve">horas ascendió a </w:t>
      </w:r>
      <w:r w:rsidR="00A47D60" w:rsidRPr="00562186">
        <w:rPr>
          <w:rFonts w:ascii="Candara" w:hAnsi="Candara"/>
          <w:sz w:val="22"/>
          <w:lang w:val="es-ES_tradnl"/>
        </w:rPr>
        <w:t>11,781</w:t>
      </w:r>
      <w:r w:rsidRPr="00562186">
        <w:rPr>
          <w:rFonts w:ascii="Candara" w:hAnsi="Candara"/>
          <w:sz w:val="22"/>
          <w:lang w:val="es-ES_tradnl"/>
        </w:rPr>
        <w:t>:</w:t>
      </w:r>
    </w:p>
    <w:bookmarkEnd w:id="0"/>
    <w:p w14:paraId="6E889FD2" w14:textId="77777777" w:rsidR="00393D24" w:rsidRPr="00562186" w:rsidRDefault="00393D24" w:rsidP="00562186">
      <w:pPr>
        <w:pStyle w:val="Texto"/>
        <w:spacing w:after="0" w:line="276" w:lineRule="auto"/>
        <w:ind w:firstLine="0"/>
        <w:rPr>
          <w:rFonts w:ascii="Candara" w:hAnsi="Candara"/>
          <w:sz w:val="22"/>
          <w:lang w:val="es-ES_tradnl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113"/>
      </w:tblGrid>
      <w:tr w:rsidR="003A3E6B" w:rsidRPr="00562186" w14:paraId="214650F2" w14:textId="77777777" w:rsidTr="00EA0FAB">
        <w:trPr>
          <w:trHeight w:val="237"/>
          <w:jc w:val="center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0A683CC5" w14:textId="68187540" w:rsidR="00D55A14" w:rsidRPr="00562186" w:rsidRDefault="00EA0FAB" w:rsidP="00EA0FAB">
            <w:pPr>
              <w:autoSpaceDE/>
              <w:autoSpaceDN/>
              <w:spacing w:line="276" w:lineRule="auto"/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</w:pPr>
            <w:r w:rsidRPr="00562186"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  <w:t>Total de videoconferencias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5BF0003F" w14:textId="77777777" w:rsidR="00D55A14" w:rsidRPr="00562186" w:rsidRDefault="00D55A14" w:rsidP="00562186">
            <w:pPr>
              <w:spacing w:line="276" w:lineRule="auto"/>
              <w:jc w:val="center"/>
              <w:rPr>
                <w:rFonts w:ascii="Candara" w:hAnsi="Candara"/>
                <w:sz w:val="22"/>
              </w:rPr>
            </w:pPr>
            <w:r w:rsidRPr="00562186">
              <w:rPr>
                <w:rFonts w:ascii="Candara" w:hAnsi="Candara"/>
                <w:sz w:val="22"/>
              </w:rPr>
              <w:t>2</w:t>
            </w:r>
            <w:r w:rsidR="00F20422" w:rsidRPr="00562186">
              <w:rPr>
                <w:rFonts w:ascii="Candara" w:hAnsi="Candara"/>
                <w:sz w:val="22"/>
              </w:rPr>
              <w:t>,</w:t>
            </w:r>
            <w:r w:rsidRPr="00562186">
              <w:rPr>
                <w:rFonts w:ascii="Candara" w:hAnsi="Candara"/>
                <w:sz w:val="22"/>
              </w:rPr>
              <w:t>626</w:t>
            </w:r>
          </w:p>
        </w:tc>
      </w:tr>
      <w:tr w:rsidR="003A3E6B" w:rsidRPr="00562186" w14:paraId="47FA0210" w14:textId="77777777" w:rsidTr="00EA0FAB">
        <w:trPr>
          <w:trHeight w:val="237"/>
          <w:jc w:val="center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219C2883" w14:textId="4AFFAFBA" w:rsidR="00D55A14" w:rsidRPr="00562186" w:rsidRDefault="00EA0FAB" w:rsidP="00562186">
            <w:pPr>
              <w:autoSpaceDE/>
              <w:autoSpaceDN/>
              <w:spacing w:line="276" w:lineRule="auto"/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</w:pPr>
            <w:r w:rsidRPr="00562186"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  <w:t>Asistencia de videoconferencias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7ECADFD6" w14:textId="77777777" w:rsidR="00D55A14" w:rsidRPr="00562186" w:rsidRDefault="00D55A14" w:rsidP="00562186">
            <w:pPr>
              <w:spacing w:line="276" w:lineRule="auto"/>
              <w:jc w:val="center"/>
              <w:rPr>
                <w:rFonts w:ascii="Candara" w:hAnsi="Candara"/>
                <w:sz w:val="22"/>
              </w:rPr>
            </w:pPr>
            <w:r w:rsidRPr="00562186">
              <w:rPr>
                <w:rFonts w:ascii="Candara" w:hAnsi="Candara"/>
                <w:sz w:val="22"/>
              </w:rPr>
              <w:t>33</w:t>
            </w:r>
            <w:r w:rsidR="00F20422" w:rsidRPr="00562186">
              <w:rPr>
                <w:rFonts w:ascii="Candara" w:hAnsi="Candara"/>
                <w:sz w:val="22"/>
              </w:rPr>
              <w:t>,</w:t>
            </w:r>
            <w:r w:rsidRPr="00562186">
              <w:rPr>
                <w:rFonts w:ascii="Candara" w:hAnsi="Candara"/>
                <w:sz w:val="22"/>
              </w:rPr>
              <w:t>300</w:t>
            </w:r>
          </w:p>
        </w:tc>
      </w:tr>
      <w:tr w:rsidR="003A3E6B" w:rsidRPr="00562186" w14:paraId="690A2B1E" w14:textId="77777777" w:rsidTr="00EA0FAB">
        <w:trPr>
          <w:trHeight w:val="237"/>
          <w:jc w:val="center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5D2DFA40" w14:textId="3D230060" w:rsidR="00D55A14" w:rsidRPr="00562186" w:rsidRDefault="00EA0FAB" w:rsidP="00562186">
            <w:pPr>
              <w:autoSpaceDE/>
              <w:autoSpaceDN/>
              <w:spacing w:line="276" w:lineRule="auto"/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</w:pPr>
            <w:r w:rsidRPr="00562186"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  <w:t>Total de salas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47E64C4E" w14:textId="77777777" w:rsidR="00D55A14" w:rsidRPr="00562186" w:rsidRDefault="00D55A14" w:rsidP="00562186">
            <w:pPr>
              <w:spacing w:line="276" w:lineRule="auto"/>
              <w:jc w:val="center"/>
              <w:rPr>
                <w:rFonts w:ascii="Candara" w:hAnsi="Candara"/>
                <w:sz w:val="22"/>
              </w:rPr>
            </w:pPr>
            <w:r w:rsidRPr="00562186">
              <w:rPr>
                <w:rFonts w:ascii="Candara" w:hAnsi="Candara"/>
                <w:sz w:val="22"/>
              </w:rPr>
              <w:t>3</w:t>
            </w:r>
            <w:r w:rsidR="00F20422" w:rsidRPr="00562186">
              <w:rPr>
                <w:rFonts w:ascii="Candara" w:hAnsi="Candara"/>
                <w:sz w:val="22"/>
              </w:rPr>
              <w:t>,</w:t>
            </w:r>
            <w:r w:rsidRPr="00562186">
              <w:rPr>
                <w:rFonts w:ascii="Candara" w:hAnsi="Candara"/>
                <w:sz w:val="22"/>
              </w:rPr>
              <w:t>829</w:t>
            </w:r>
          </w:p>
        </w:tc>
      </w:tr>
      <w:tr w:rsidR="003A3E6B" w:rsidRPr="00562186" w14:paraId="3DF6CFDD" w14:textId="77777777" w:rsidTr="00EA0FAB">
        <w:trPr>
          <w:trHeight w:val="237"/>
          <w:jc w:val="center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4625157C" w14:textId="6F317279" w:rsidR="00D55A14" w:rsidRPr="00562186" w:rsidRDefault="00EA0FAB" w:rsidP="00562186">
            <w:pPr>
              <w:autoSpaceDE/>
              <w:autoSpaceDN/>
              <w:spacing w:line="276" w:lineRule="auto"/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  <w:t>T</w:t>
            </w:r>
            <w:r w:rsidRPr="00562186">
              <w:rPr>
                <w:rFonts w:ascii="Candara" w:hAnsi="Candara" w:cs="Calibri"/>
                <w:b/>
                <w:bCs/>
                <w:sz w:val="22"/>
                <w:szCs w:val="22"/>
                <w:lang w:eastAsia="es-MX"/>
              </w:rPr>
              <w:t>otal de horas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17B60BFE" w14:textId="77777777" w:rsidR="00D55A14" w:rsidRPr="00562186" w:rsidRDefault="00D55A14" w:rsidP="00562186">
            <w:pPr>
              <w:spacing w:line="276" w:lineRule="auto"/>
              <w:jc w:val="center"/>
              <w:rPr>
                <w:rFonts w:ascii="Candara" w:hAnsi="Candara"/>
                <w:sz w:val="22"/>
              </w:rPr>
            </w:pPr>
            <w:r w:rsidRPr="00562186">
              <w:rPr>
                <w:rFonts w:ascii="Candara" w:hAnsi="Candara"/>
                <w:sz w:val="22"/>
              </w:rPr>
              <w:t>11</w:t>
            </w:r>
            <w:r w:rsidR="00F20422" w:rsidRPr="00562186">
              <w:rPr>
                <w:rFonts w:ascii="Candara" w:hAnsi="Candara"/>
                <w:sz w:val="22"/>
              </w:rPr>
              <w:t>,</w:t>
            </w:r>
            <w:r w:rsidRPr="00562186">
              <w:rPr>
                <w:rFonts w:ascii="Candara" w:hAnsi="Candara"/>
                <w:sz w:val="22"/>
              </w:rPr>
              <w:t>781</w:t>
            </w:r>
          </w:p>
        </w:tc>
      </w:tr>
    </w:tbl>
    <w:p w14:paraId="19BD987E" w14:textId="2FE54459" w:rsidR="00B115FD" w:rsidRPr="00562186" w:rsidRDefault="00A603C5" w:rsidP="00EA0FAB">
      <w:pPr>
        <w:spacing w:line="276" w:lineRule="auto"/>
        <w:jc w:val="center"/>
        <w:rPr>
          <w:rFonts w:ascii="Candara" w:eastAsia="ArialMT" w:hAnsi="Candara"/>
          <w:sz w:val="22"/>
        </w:rPr>
      </w:pPr>
      <w:r w:rsidRPr="00562186">
        <w:rPr>
          <w:rFonts w:ascii="Candara" w:hAnsi="Candara"/>
          <w:noProof/>
          <w:lang w:val="es-MX" w:eastAsia="es-MX"/>
        </w:rPr>
        <w:drawing>
          <wp:inline distT="0" distB="0" distL="0" distR="0" wp14:anchorId="40CACDCB" wp14:editId="00AED6F2">
            <wp:extent cx="4222142" cy="2130950"/>
            <wp:effectExtent l="0" t="0" r="6985" b="31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8FDCD6" w14:textId="77777777" w:rsidR="00A603C5" w:rsidRPr="00562186" w:rsidRDefault="00A603C5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p w14:paraId="3F17C706" w14:textId="77777777" w:rsidR="00305D07" w:rsidRPr="00562186" w:rsidRDefault="00305D07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p w14:paraId="0E3AFD63" w14:textId="77777777" w:rsidR="00305D07" w:rsidRPr="00562186" w:rsidRDefault="00305D07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p w14:paraId="2FCF43AA" w14:textId="6F0539B9" w:rsidR="003C1E44" w:rsidRPr="00562186" w:rsidRDefault="00D979D7" w:rsidP="00562186">
      <w:pPr>
        <w:spacing w:line="276" w:lineRule="auto"/>
        <w:jc w:val="both"/>
        <w:rPr>
          <w:rFonts w:ascii="Candara" w:eastAsia="ArialMT" w:hAnsi="Candara"/>
          <w:sz w:val="22"/>
        </w:rPr>
      </w:pPr>
      <w:r>
        <w:rPr>
          <w:rFonts w:ascii="Candara" w:eastAsia="ArialMT" w:hAnsi="Candara"/>
          <w:sz w:val="22"/>
        </w:rPr>
        <w:lastRenderedPageBreak/>
        <w:t>La</w:t>
      </w:r>
      <w:r w:rsidR="00BE7214" w:rsidRPr="00562186">
        <w:rPr>
          <w:rFonts w:ascii="Candara" w:eastAsia="ArialMT" w:hAnsi="Candara"/>
          <w:sz w:val="22"/>
        </w:rPr>
        <w:t xml:space="preserve"> implementación </w:t>
      </w:r>
      <w:r w:rsidR="004E6A2D" w:rsidRPr="00562186">
        <w:rPr>
          <w:rFonts w:ascii="Candara" w:eastAsia="ArialMT" w:hAnsi="Candara"/>
          <w:sz w:val="22"/>
        </w:rPr>
        <w:t xml:space="preserve">del uso </w:t>
      </w:r>
      <w:r w:rsidR="00DC2175" w:rsidRPr="00562186">
        <w:rPr>
          <w:rFonts w:ascii="Candara" w:eastAsia="ArialMT" w:hAnsi="Candara"/>
          <w:sz w:val="22"/>
        </w:rPr>
        <w:t xml:space="preserve">de videoconferencias se ha visto </w:t>
      </w:r>
      <w:proofErr w:type="gramStart"/>
      <w:r w:rsidR="00DC2175" w:rsidRPr="00562186">
        <w:rPr>
          <w:rFonts w:ascii="Candara" w:eastAsia="ArialMT" w:hAnsi="Candara"/>
          <w:sz w:val="22"/>
        </w:rPr>
        <w:t>reflejado</w:t>
      </w:r>
      <w:proofErr w:type="gramEnd"/>
      <w:r w:rsidR="00DC2175" w:rsidRPr="00562186">
        <w:rPr>
          <w:rFonts w:ascii="Candara" w:eastAsia="ArialMT" w:hAnsi="Candara"/>
          <w:sz w:val="22"/>
        </w:rPr>
        <w:t xml:space="preserve"> en la disminución de los ga</w:t>
      </w:r>
      <w:r>
        <w:rPr>
          <w:rFonts w:ascii="Candara" w:eastAsia="ArialMT" w:hAnsi="Candara"/>
          <w:sz w:val="22"/>
        </w:rPr>
        <w:t>s</w:t>
      </w:r>
      <w:r w:rsidR="00DC2175" w:rsidRPr="00562186">
        <w:rPr>
          <w:rFonts w:ascii="Candara" w:eastAsia="ArialMT" w:hAnsi="Candara"/>
          <w:sz w:val="22"/>
        </w:rPr>
        <w:t xml:space="preserve">tos </w:t>
      </w:r>
      <w:r>
        <w:rPr>
          <w:rFonts w:ascii="Candara" w:eastAsia="ArialMT" w:hAnsi="Candara"/>
          <w:sz w:val="22"/>
        </w:rPr>
        <w:t>de</w:t>
      </w:r>
      <w:r w:rsidR="00DC2175" w:rsidRPr="00562186">
        <w:rPr>
          <w:rFonts w:ascii="Candara" w:eastAsia="ArialMT" w:hAnsi="Candara"/>
          <w:sz w:val="22"/>
        </w:rPr>
        <w:t xml:space="preserve"> las partidas correspondientes a viáticos y boletos de avión </w:t>
      </w:r>
      <w:r w:rsidR="00305D07" w:rsidRPr="00562186">
        <w:rPr>
          <w:rFonts w:ascii="Candara" w:eastAsia="ArialMT" w:hAnsi="Candara"/>
          <w:sz w:val="22"/>
        </w:rPr>
        <w:t>como se puede observación en el siguiente cuadro:</w:t>
      </w:r>
    </w:p>
    <w:p w14:paraId="3D638FA0" w14:textId="77777777" w:rsidR="00E55365" w:rsidRPr="00562186" w:rsidRDefault="00E55365" w:rsidP="00562186">
      <w:pPr>
        <w:pStyle w:val="Texto"/>
        <w:spacing w:after="0" w:line="276" w:lineRule="auto"/>
        <w:ind w:firstLine="0"/>
        <w:rPr>
          <w:rFonts w:ascii="Candara" w:hAnsi="Candara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2"/>
        <w:gridCol w:w="1703"/>
        <w:gridCol w:w="1070"/>
        <w:gridCol w:w="684"/>
        <w:gridCol w:w="1686"/>
        <w:gridCol w:w="1736"/>
        <w:gridCol w:w="1070"/>
      </w:tblGrid>
      <w:tr w:rsidR="00E55365" w:rsidRPr="00562186" w14:paraId="7DC747C4" w14:textId="77777777" w:rsidTr="006A5703">
        <w:trPr>
          <w:trHeight w:val="251"/>
        </w:trPr>
        <w:tc>
          <w:tcPr>
            <w:tcW w:w="44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F89AFD0" w14:textId="33EA4D6F" w:rsidR="00E55365" w:rsidRPr="00562186" w:rsidRDefault="00E55365" w:rsidP="00562186">
            <w:pPr>
              <w:spacing w:line="276" w:lineRule="auto"/>
              <w:jc w:val="center"/>
              <w:rPr>
                <w:rFonts w:ascii="Candara" w:eastAsia="ArialMT" w:hAnsi="Candara"/>
                <w:b/>
                <w:color w:val="FFFFFF" w:themeColor="background1"/>
                <w:sz w:val="22"/>
                <w:szCs w:val="22"/>
              </w:rPr>
            </w:pP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 xml:space="preserve">Gasto </w:t>
            </w:r>
            <w:r w:rsidR="00D979D7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p</w:t>
            </w: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 xml:space="preserve">artida </w:t>
            </w:r>
            <w:r w:rsidR="00D979D7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v</w:t>
            </w: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iáticos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A8B5D" w14:textId="77777777" w:rsidR="00E55365" w:rsidRPr="00562186" w:rsidRDefault="00E55365" w:rsidP="00562186">
            <w:pPr>
              <w:spacing w:line="276" w:lineRule="auto"/>
              <w:jc w:val="both"/>
              <w:rPr>
                <w:rFonts w:ascii="Candara" w:eastAsia="ArialMT" w:hAnsi="Candar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5B9BD5" w:themeFill="accent1"/>
          </w:tcPr>
          <w:p w14:paraId="0B314F99" w14:textId="5E110119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</w:pP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 xml:space="preserve">Gasto </w:t>
            </w:r>
            <w:r w:rsidR="00D979D7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p</w:t>
            </w: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 xml:space="preserve">artida </w:t>
            </w:r>
            <w:r w:rsidR="00D979D7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b</w:t>
            </w: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 xml:space="preserve">oletos de </w:t>
            </w:r>
            <w:r w:rsidR="00D979D7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a</w:t>
            </w: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vión</w:t>
            </w:r>
          </w:p>
        </w:tc>
      </w:tr>
      <w:tr w:rsidR="00E55365" w:rsidRPr="00562186" w14:paraId="1C309353" w14:textId="77777777" w:rsidTr="006A5703">
        <w:trPr>
          <w:trHeight w:val="268"/>
        </w:trPr>
        <w:tc>
          <w:tcPr>
            <w:tcW w:w="1673" w:type="dxa"/>
            <w:shd w:val="clear" w:color="auto" w:fill="DEEAF6" w:themeFill="accent1" w:themeFillTint="33"/>
          </w:tcPr>
          <w:p w14:paraId="61192A54" w14:textId="77777777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2018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79C9BC" w14:textId="77777777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2019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43CF661" w14:textId="77777777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Variación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4D337" w14:textId="77777777" w:rsidR="00E55365" w:rsidRPr="00562186" w:rsidRDefault="00E55365" w:rsidP="00562186">
            <w:pPr>
              <w:spacing w:line="276" w:lineRule="auto"/>
              <w:jc w:val="both"/>
              <w:rPr>
                <w:rFonts w:ascii="Candara" w:eastAsia="ArialMT" w:hAnsi="Candara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6E78EA4" w14:textId="77777777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2018</w:t>
            </w:r>
          </w:p>
        </w:tc>
        <w:tc>
          <w:tcPr>
            <w:tcW w:w="1736" w:type="dxa"/>
            <w:shd w:val="clear" w:color="auto" w:fill="DEEAF6" w:themeFill="accent1" w:themeFillTint="33"/>
          </w:tcPr>
          <w:p w14:paraId="3C58031E" w14:textId="77777777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2019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177C7210" w14:textId="77777777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Variación</w:t>
            </w:r>
          </w:p>
        </w:tc>
      </w:tr>
      <w:tr w:rsidR="00E55365" w:rsidRPr="00562186" w14:paraId="0FB5DEB4" w14:textId="77777777" w:rsidTr="00D979D7">
        <w:trPr>
          <w:trHeight w:val="453"/>
        </w:trPr>
        <w:tc>
          <w:tcPr>
            <w:tcW w:w="1673" w:type="dxa"/>
            <w:shd w:val="clear" w:color="auto" w:fill="DEEAF6" w:themeFill="accent1" w:themeFillTint="33"/>
          </w:tcPr>
          <w:p w14:paraId="0E90A3E2" w14:textId="4D63FF70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 xml:space="preserve">$2,296,268.81 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DEBC893" w14:textId="104B3FFC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 xml:space="preserve">$1,478,090.06 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97AA770" w14:textId="77777777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-35.63%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64D14" w14:textId="77777777" w:rsidR="00E55365" w:rsidRPr="00562186" w:rsidRDefault="00E55365" w:rsidP="00562186">
            <w:pPr>
              <w:spacing w:line="276" w:lineRule="auto"/>
              <w:jc w:val="both"/>
              <w:rPr>
                <w:rFonts w:ascii="Candara" w:eastAsia="ArialMT" w:hAnsi="Candara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277C67E" w14:textId="554D1FE8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 xml:space="preserve">$2,316,314.99 </w:t>
            </w:r>
          </w:p>
        </w:tc>
        <w:tc>
          <w:tcPr>
            <w:tcW w:w="1736" w:type="dxa"/>
            <w:shd w:val="clear" w:color="auto" w:fill="DEEAF6" w:themeFill="accent1" w:themeFillTint="33"/>
          </w:tcPr>
          <w:p w14:paraId="68069B86" w14:textId="0ACDF701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 xml:space="preserve">$1,492,358.17 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14:paraId="60895605" w14:textId="77777777" w:rsidR="00E55365" w:rsidRPr="00562186" w:rsidRDefault="00E55365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-35.57%</w:t>
            </w:r>
          </w:p>
        </w:tc>
      </w:tr>
    </w:tbl>
    <w:p w14:paraId="4F2D4D8C" w14:textId="77777777" w:rsidR="00E55365" w:rsidRPr="00562186" w:rsidRDefault="00E55365" w:rsidP="00562186">
      <w:pPr>
        <w:pStyle w:val="Texto"/>
        <w:spacing w:after="0" w:line="276" w:lineRule="auto"/>
        <w:ind w:firstLine="0"/>
        <w:rPr>
          <w:rFonts w:ascii="Candara" w:hAnsi="Candara"/>
          <w:b/>
          <w:sz w:val="22"/>
          <w:lang w:val="es-ES_tradnl"/>
        </w:rPr>
      </w:pPr>
    </w:p>
    <w:p w14:paraId="1804C981" w14:textId="0A32840B" w:rsidR="00E55365" w:rsidRPr="00562186" w:rsidRDefault="00E55365" w:rsidP="00562186">
      <w:pPr>
        <w:spacing w:line="276" w:lineRule="auto"/>
        <w:jc w:val="both"/>
        <w:rPr>
          <w:rFonts w:ascii="Candara" w:eastAsia="ArialMT" w:hAnsi="Candara"/>
          <w:sz w:val="22"/>
        </w:rPr>
      </w:pPr>
      <w:r w:rsidRPr="00562186">
        <w:rPr>
          <w:rFonts w:ascii="Candara" w:eastAsia="ArialMT" w:hAnsi="Candara"/>
          <w:sz w:val="22"/>
        </w:rPr>
        <w:t>Durante el ejercicio 2018 el monto ejercido por concepto de viáticos fue de $2, 296,268.81 (dos millones doscientos noventa y seis mil doscientos sesenta y ocho pesos 81/100 M.N.), mientras que durante el ejercicio 2019 el monto ejercido fue de $1, 478,090.06 (un millón cuatrocientos setenta y ocho mil noventa pesos 06/100 M.N.)</w:t>
      </w:r>
      <w:r w:rsidR="00D979D7">
        <w:rPr>
          <w:rFonts w:ascii="Candara" w:eastAsia="ArialMT" w:hAnsi="Candara"/>
          <w:sz w:val="22"/>
        </w:rPr>
        <w:t>,</w:t>
      </w:r>
      <w:r w:rsidRPr="00562186">
        <w:rPr>
          <w:rFonts w:ascii="Candara" w:eastAsia="ArialMT" w:hAnsi="Candara"/>
          <w:sz w:val="22"/>
        </w:rPr>
        <w:t xml:space="preserve"> lo </w:t>
      </w:r>
      <w:r w:rsidR="00D979D7">
        <w:rPr>
          <w:rFonts w:ascii="Candara" w:eastAsia="ArialMT" w:hAnsi="Candara"/>
          <w:sz w:val="22"/>
        </w:rPr>
        <w:t>que</w:t>
      </w:r>
      <w:r w:rsidRPr="00562186">
        <w:rPr>
          <w:rFonts w:ascii="Candara" w:eastAsia="ArialMT" w:hAnsi="Candara"/>
          <w:sz w:val="22"/>
        </w:rPr>
        <w:t xml:space="preserve"> representa un</w:t>
      </w:r>
      <w:r w:rsidR="00D979D7">
        <w:rPr>
          <w:rFonts w:ascii="Candara" w:eastAsia="ArialMT" w:hAnsi="Candara"/>
          <w:sz w:val="22"/>
        </w:rPr>
        <w:t>a</w:t>
      </w:r>
      <w:r w:rsidRPr="00562186">
        <w:rPr>
          <w:rFonts w:ascii="Candara" w:eastAsia="ArialMT" w:hAnsi="Candara"/>
          <w:sz w:val="22"/>
        </w:rPr>
        <w:t xml:space="preserve"> reducción del </w:t>
      </w:r>
      <w:r w:rsidR="00761991" w:rsidRPr="00562186">
        <w:rPr>
          <w:rFonts w:ascii="Candara" w:eastAsia="ArialMT" w:hAnsi="Candara"/>
          <w:sz w:val="22"/>
        </w:rPr>
        <w:t xml:space="preserve">gasto </w:t>
      </w:r>
      <w:r w:rsidR="00D979D7">
        <w:rPr>
          <w:rFonts w:ascii="Candara" w:eastAsia="ArialMT" w:hAnsi="Candara"/>
          <w:sz w:val="22"/>
        </w:rPr>
        <w:t>de</w:t>
      </w:r>
      <w:r w:rsidR="00761991" w:rsidRPr="00562186">
        <w:rPr>
          <w:rFonts w:ascii="Candara" w:eastAsia="ArialMT" w:hAnsi="Candara"/>
          <w:sz w:val="22"/>
        </w:rPr>
        <w:t xml:space="preserve"> </w:t>
      </w:r>
      <w:r w:rsidRPr="00562186">
        <w:rPr>
          <w:rFonts w:ascii="Candara" w:eastAsia="ArialMT" w:hAnsi="Candara"/>
          <w:sz w:val="22"/>
        </w:rPr>
        <w:t>35.63 % en relación con el ejercicio anterior.</w:t>
      </w:r>
    </w:p>
    <w:p w14:paraId="0AB324F2" w14:textId="77777777" w:rsidR="00E55365" w:rsidRPr="00562186" w:rsidRDefault="00E55365" w:rsidP="00562186">
      <w:pPr>
        <w:pStyle w:val="Texto"/>
        <w:spacing w:after="0" w:line="276" w:lineRule="auto"/>
        <w:ind w:firstLine="0"/>
        <w:rPr>
          <w:rFonts w:ascii="Candara" w:hAnsi="Candara"/>
          <w:b/>
          <w:sz w:val="22"/>
          <w:lang w:val="es-ES_tradnl"/>
        </w:rPr>
      </w:pPr>
    </w:p>
    <w:p w14:paraId="159D0B8B" w14:textId="0E24AD38" w:rsidR="00E55365" w:rsidRPr="00562186" w:rsidRDefault="00E55365" w:rsidP="00562186">
      <w:pPr>
        <w:spacing w:line="276" w:lineRule="auto"/>
        <w:jc w:val="both"/>
        <w:rPr>
          <w:rFonts w:ascii="Candara" w:eastAsia="ArialMT" w:hAnsi="Candara"/>
          <w:sz w:val="22"/>
        </w:rPr>
      </w:pPr>
      <w:r w:rsidRPr="00562186">
        <w:rPr>
          <w:rFonts w:ascii="Candara" w:eastAsia="ArialMT" w:hAnsi="Candara"/>
          <w:sz w:val="22"/>
        </w:rPr>
        <w:t xml:space="preserve">Durante el ejercicio 2018 el monto ejercido por concepto de </w:t>
      </w:r>
      <w:r w:rsidR="00D979D7">
        <w:rPr>
          <w:rFonts w:ascii="Candara" w:eastAsia="ArialMT" w:hAnsi="Candara"/>
          <w:sz w:val="22"/>
        </w:rPr>
        <w:t>b</w:t>
      </w:r>
      <w:r w:rsidRPr="00562186">
        <w:rPr>
          <w:rFonts w:ascii="Candara" w:eastAsia="ArialMT" w:hAnsi="Candara"/>
          <w:sz w:val="22"/>
        </w:rPr>
        <w:t xml:space="preserve">oletos de </w:t>
      </w:r>
      <w:r w:rsidR="00D979D7">
        <w:rPr>
          <w:rFonts w:ascii="Candara" w:eastAsia="ArialMT" w:hAnsi="Candara"/>
          <w:sz w:val="22"/>
        </w:rPr>
        <w:t>a</w:t>
      </w:r>
      <w:r w:rsidRPr="00562186">
        <w:rPr>
          <w:rFonts w:ascii="Candara" w:eastAsia="ArialMT" w:hAnsi="Candara"/>
          <w:sz w:val="22"/>
        </w:rPr>
        <w:t>vión fue de $2, 316,314.99 (dos millones trescientos dieciséis mil trescientos catorce pesos 99/100 M.N.), mientras que durante el ejercicio 2019 el monto ejercido fue de $1, 492,358.17 (un millón cuatrocientos noventa y dos mil trescientos cincuenta y ocho pesos 17/100 M.N.)</w:t>
      </w:r>
      <w:r w:rsidR="00D979D7">
        <w:rPr>
          <w:rFonts w:ascii="Candara" w:eastAsia="ArialMT" w:hAnsi="Candara"/>
          <w:sz w:val="22"/>
        </w:rPr>
        <w:t xml:space="preserve">, que refleja </w:t>
      </w:r>
      <w:r w:rsidR="00137E0B" w:rsidRPr="00562186">
        <w:rPr>
          <w:rFonts w:ascii="Candara" w:eastAsia="ArialMT" w:hAnsi="Candara"/>
          <w:sz w:val="22"/>
        </w:rPr>
        <w:t>un</w:t>
      </w:r>
      <w:r w:rsidRPr="00562186">
        <w:rPr>
          <w:rFonts w:ascii="Candara" w:eastAsia="ArialMT" w:hAnsi="Candara"/>
          <w:sz w:val="22"/>
        </w:rPr>
        <w:t xml:space="preserve"> </w:t>
      </w:r>
      <w:r w:rsidR="00D979D7">
        <w:rPr>
          <w:rFonts w:ascii="Candara" w:eastAsia="ArialMT" w:hAnsi="Candara"/>
          <w:sz w:val="22"/>
        </w:rPr>
        <w:t xml:space="preserve">gasto </w:t>
      </w:r>
      <w:r w:rsidRPr="00562186">
        <w:rPr>
          <w:rFonts w:ascii="Candara" w:eastAsia="ArialMT" w:hAnsi="Candara"/>
          <w:sz w:val="22"/>
        </w:rPr>
        <w:t xml:space="preserve">35.57 % </w:t>
      </w:r>
      <w:r w:rsidR="00D979D7">
        <w:rPr>
          <w:rFonts w:ascii="Candara" w:eastAsia="ArialMT" w:hAnsi="Candara"/>
          <w:sz w:val="22"/>
        </w:rPr>
        <w:t xml:space="preserve">menor en 2019 respecto al </w:t>
      </w:r>
      <w:r w:rsidRPr="00562186">
        <w:rPr>
          <w:rFonts w:ascii="Candara" w:eastAsia="ArialMT" w:hAnsi="Candara"/>
          <w:sz w:val="22"/>
        </w:rPr>
        <w:t>ejercicio anterior.</w:t>
      </w:r>
    </w:p>
    <w:p w14:paraId="44D08CBE" w14:textId="77777777" w:rsidR="003C1E44" w:rsidRPr="00562186" w:rsidRDefault="003C1E44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p w14:paraId="0FB4262D" w14:textId="068DEC72" w:rsidR="00B115FD" w:rsidRPr="00562186" w:rsidRDefault="00D979D7" w:rsidP="00562186">
      <w:pPr>
        <w:spacing w:line="276" w:lineRule="auto"/>
        <w:jc w:val="both"/>
        <w:rPr>
          <w:rFonts w:ascii="Candara" w:eastAsia="ArialMT" w:hAnsi="Candara"/>
          <w:sz w:val="22"/>
        </w:rPr>
      </w:pPr>
      <w:r>
        <w:rPr>
          <w:rFonts w:ascii="Candara" w:eastAsia="ArialMT" w:hAnsi="Candara"/>
          <w:sz w:val="22"/>
        </w:rPr>
        <w:t xml:space="preserve">Igualmente ha disminuido el </w:t>
      </w:r>
      <w:r w:rsidR="00F6651A" w:rsidRPr="00562186">
        <w:rPr>
          <w:rFonts w:ascii="Candara" w:eastAsia="ArialMT" w:hAnsi="Candara"/>
          <w:sz w:val="22"/>
        </w:rPr>
        <w:t xml:space="preserve">consumo de gasolina como </w:t>
      </w:r>
      <w:r>
        <w:rPr>
          <w:rFonts w:ascii="Candara" w:eastAsia="ArialMT" w:hAnsi="Candara"/>
          <w:sz w:val="22"/>
        </w:rPr>
        <w:t>lo muestran las Tablas siguientes</w:t>
      </w:r>
      <w:r w:rsidR="00F6651A" w:rsidRPr="00562186">
        <w:rPr>
          <w:rFonts w:ascii="Candara" w:eastAsia="ArialMT" w:hAnsi="Candara"/>
          <w:sz w:val="22"/>
        </w:rPr>
        <w:t>:</w:t>
      </w:r>
    </w:p>
    <w:p w14:paraId="0D2934F6" w14:textId="77777777" w:rsidR="00A61A02" w:rsidRPr="00562186" w:rsidRDefault="00A61A02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709"/>
        <w:gridCol w:w="1843"/>
        <w:gridCol w:w="1781"/>
        <w:gridCol w:w="1069"/>
      </w:tblGrid>
      <w:tr w:rsidR="00CB2F78" w:rsidRPr="00562186" w14:paraId="62755DEB" w14:textId="77777777" w:rsidTr="0062094B">
        <w:trPr>
          <w:trHeight w:val="26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5B9BD5" w:themeFill="accent1"/>
          </w:tcPr>
          <w:p w14:paraId="00E18615" w14:textId="4DE0EB26" w:rsidR="00A61A02" w:rsidRPr="00562186" w:rsidRDefault="00CB2F78" w:rsidP="00562186">
            <w:pPr>
              <w:spacing w:line="276" w:lineRule="auto"/>
              <w:jc w:val="center"/>
              <w:rPr>
                <w:rFonts w:ascii="Candara" w:eastAsia="ArialMT" w:hAnsi="Candara"/>
                <w:b/>
                <w:color w:val="FFFFFF" w:themeColor="background1"/>
                <w:sz w:val="22"/>
              </w:rPr>
            </w:pP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 xml:space="preserve">Gasto </w:t>
            </w:r>
            <w:r w:rsidR="00D979D7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p</w:t>
            </w: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 xml:space="preserve">artida </w:t>
            </w:r>
            <w:r w:rsidR="00D979D7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c</w:t>
            </w:r>
            <w:r w:rsidRPr="00562186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ombustible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17665" w14:textId="77777777" w:rsidR="00A61A02" w:rsidRPr="00562186" w:rsidRDefault="00A61A02" w:rsidP="00562186">
            <w:pPr>
              <w:spacing w:line="276" w:lineRule="auto"/>
              <w:jc w:val="center"/>
              <w:rPr>
                <w:rFonts w:ascii="Candara" w:eastAsia="ArialMT" w:hAnsi="Candara"/>
                <w:b/>
                <w:color w:val="FFFFFF" w:themeColor="background1"/>
                <w:sz w:val="22"/>
              </w:rPr>
            </w:pPr>
          </w:p>
        </w:tc>
        <w:tc>
          <w:tcPr>
            <w:tcW w:w="4693" w:type="dxa"/>
            <w:gridSpan w:val="3"/>
            <w:tcBorders>
              <w:left w:val="single" w:sz="4" w:space="0" w:color="auto"/>
            </w:tcBorders>
            <w:shd w:val="clear" w:color="auto" w:fill="5B9BD5" w:themeFill="accent1"/>
          </w:tcPr>
          <w:p w14:paraId="7287E552" w14:textId="77777777" w:rsidR="00A61A02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</w:pPr>
            <w:r w:rsidRPr="00562186">
              <w:rPr>
                <w:rFonts w:ascii="Candara" w:hAnsi="Candara" w:cs="Calibri"/>
                <w:b/>
                <w:color w:val="FFFFFF" w:themeColor="background1"/>
                <w:sz w:val="22"/>
                <w:szCs w:val="22"/>
                <w:lang w:eastAsia="es-MX"/>
              </w:rPr>
              <w:t>Consumo gasolina</w:t>
            </w:r>
            <w:r w:rsidR="003C046E" w:rsidRPr="00562186">
              <w:rPr>
                <w:rFonts w:ascii="Candara" w:hAnsi="Candara" w:cs="Calibri"/>
                <w:b/>
                <w:color w:val="FFFFFF" w:themeColor="background1"/>
                <w:sz w:val="22"/>
                <w:szCs w:val="22"/>
                <w:lang w:eastAsia="es-MX"/>
              </w:rPr>
              <w:t xml:space="preserve"> (litros)</w:t>
            </w:r>
          </w:p>
        </w:tc>
      </w:tr>
      <w:tr w:rsidR="003C046E" w:rsidRPr="00562186" w14:paraId="62E5A8E6" w14:textId="77777777" w:rsidTr="0062094B">
        <w:trPr>
          <w:trHeight w:val="330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4BA0E633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AC0698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85EDC7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Variación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FCF2C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eastAsia="ArialMT" w:hAnsi="Candar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CBBA9B2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2018</w:t>
            </w:r>
          </w:p>
        </w:tc>
        <w:tc>
          <w:tcPr>
            <w:tcW w:w="1781" w:type="dxa"/>
            <w:shd w:val="clear" w:color="auto" w:fill="DEEAF6" w:themeFill="accent1" w:themeFillTint="33"/>
            <w:vAlign w:val="center"/>
          </w:tcPr>
          <w:p w14:paraId="3669DBEB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2019</w:t>
            </w:r>
          </w:p>
        </w:tc>
        <w:tc>
          <w:tcPr>
            <w:tcW w:w="1069" w:type="dxa"/>
            <w:shd w:val="clear" w:color="auto" w:fill="DEEAF6" w:themeFill="accent1" w:themeFillTint="33"/>
            <w:vAlign w:val="center"/>
          </w:tcPr>
          <w:p w14:paraId="1626A070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Variación</w:t>
            </w:r>
          </w:p>
        </w:tc>
      </w:tr>
      <w:tr w:rsidR="003C046E" w:rsidRPr="00562186" w14:paraId="6A82E456" w14:textId="77777777" w:rsidTr="0062094B">
        <w:trPr>
          <w:trHeight w:val="40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8D72F2" w14:textId="48A9FAC1" w:rsidR="00AB78C0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$3,248,110.83</w:t>
            </w:r>
            <w:r w:rsidR="00AB78C0" w:rsidRPr="00562186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7F7D44" w14:textId="3C0591CF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$2,128,877.09</w:t>
            </w:r>
            <w:r w:rsidR="00AB78C0" w:rsidRPr="00562186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F55AE5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-34.46%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CB7B8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eastAsia="ArialMT" w:hAnsi="Candar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D10CDFB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160,748.01 litros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BB029B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131,876.25 litros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5FC7DA" w14:textId="77777777" w:rsidR="00CB2F78" w:rsidRPr="00562186" w:rsidRDefault="00CB2F78" w:rsidP="00562186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-17.96 %</w:t>
            </w:r>
          </w:p>
        </w:tc>
      </w:tr>
    </w:tbl>
    <w:p w14:paraId="3A7EB80B" w14:textId="77777777" w:rsidR="00A61A02" w:rsidRPr="00562186" w:rsidRDefault="00A61A02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p w14:paraId="2A67610E" w14:textId="5B0CAE47" w:rsidR="004C6B90" w:rsidRPr="00562186" w:rsidRDefault="004C6B90" w:rsidP="00562186">
      <w:pPr>
        <w:spacing w:line="276" w:lineRule="auto"/>
        <w:jc w:val="both"/>
        <w:rPr>
          <w:rFonts w:ascii="Candara" w:eastAsia="ArialMT" w:hAnsi="Candara"/>
          <w:sz w:val="22"/>
        </w:rPr>
      </w:pPr>
      <w:r w:rsidRPr="00562186">
        <w:rPr>
          <w:rFonts w:ascii="Candara" w:eastAsia="ArialMT" w:hAnsi="Candara"/>
          <w:sz w:val="22"/>
        </w:rPr>
        <w:t>Durante el ejercicio 2018 el pago realizado por concepto de c</w:t>
      </w:r>
      <w:r w:rsidR="00AB78C0" w:rsidRPr="00562186">
        <w:rPr>
          <w:rFonts w:ascii="Candara" w:eastAsia="ArialMT" w:hAnsi="Candara"/>
          <w:sz w:val="22"/>
        </w:rPr>
        <w:t>o</w:t>
      </w:r>
      <w:r w:rsidRPr="00562186">
        <w:rPr>
          <w:rFonts w:ascii="Candara" w:eastAsia="ArialMT" w:hAnsi="Candara"/>
          <w:sz w:val="22"/>
        </w:rPr>
        <w:t xml:space="preserve">mbustible fue de </w:t>
      </w:r>
      <w:r w:rsidR="00AB78C0" w:rsidRPr="00562186">
        <w:rPr>
          <w:rFonts w:ascii="Candara" w:eastAsia="ArialMT" w:hAnsi="Candara"/>
          <w:sz w:val="22"/>
        </w:rPr>
        <w:t>$3</w:t>
      </w:r>
      <w:r w:rsidR="005954C7" w:rsidRPr="00562186">
        <w:rPr>
          <w:rFonts w:ascii="Candara" w:eastAsia="ArialMT" w:hAnsi="Candara"/>
          <w:sz w:val="22"/>
        </w:rPr>
        <w:t>, 248,110.83</w:t>
      </w:r>
      <w:r w:rsidRPr="00562186">
        <w:rPr>
          <w:rFonts w:ascii="Candara" w:eastAsia="ArialMT" w:hAnsi="Candara"/>
          <w:sz w:val="22"/>
        </w:rPr>
        <w:t xml:space="preserve"> (</w:t>
      </w:r>
      <w:r w:rsidR="00AB78C0" w:rsidRPr="00562186">
        <w:rPr>
          <w:rFonts w:ascii="Candara" w:eastAsia="ArialMT" w:hAnsi="Candara"/>
          <w:sz w:val="22"/>
        </w:rPr>
        <w:t>tres millones doscientos cuarenta y ocho mil ciento diez</w:t>
      </w:r>
      <w:r w:rsidRPr="00562186">
        <w:rPr>
          <w:rFonts w:ascii="Candara" w:eastAsia="ArialMT" w:hAnsi="Candara"/>
          <w:sz w:val="22"/>
        </w:rPr>
        <w:t xml:space="preserve"> pesos </w:t>
      </w:r>
      <w:r w:rsidR="005954C7" w:rsidRPr="00562186">
        <w:rPr>
          <w:rFonts w:ascii="Candara" w:eastAsia="ArialMT" w:hAnsi="Candara"/>
          <w:sz w:val="22"/>
        </w:rPr>
        <w:t>83</w:t>
      </w:r>
      <w:r w:rsidRPr="00562186">
        <w:rPr>
          <w:rFonts w:ascii="Candara" w:eastAsia="ArialMT" w:hAnsi="Candara"/>
          <w:sz w:val="22"/>
        </w:rPr>
        <w:t xml:space="preserve">/100 M.N.), mientras que durante el ejercicio 2019 el pago realizado fue de </w:t>
      </w:r>
      <w:r w:rsidR="005954C7" w:rsidRPr="00562186">
        <w:rPr>
          <w:rFonts w:ascii="Candara" w:eastAsia="ArialMT" w:hAnsi="Candara"/>
          <w:sz w:val="22"/>
        </w:rPr>
        <w:t>$2, 128,877.09</w:t>
      </w:r>
      <w:r w:rsidRPr="00562186">
        <w:rPr>
          <w:rFonts w:ascii="Candara" w:eastAsia="ArialMT" w:hAnsi="Candara"/>
          <w:sz w:val="22"/>
        </w:rPr>
        <w:t xml:space="preserve"> (</w:t>
      </w:r>
      <w:r w:rsidR="005954C7" w:rsidRPr="00562186">
        <w:rPr>
          <w:rFonts w:ascii="Candara" w:eastAsia="ArialMT" w:hAnsi="Candara"/>
          <w:sz w:val="22"/>
        </w:rPr>
        <w:t>dos millones ciento veintiocho mil ochocientos setenta y siete</w:t>
      </w:r>
      <w:r w:rsidRPr="00562186">
        <w:rPr>
          <w:rFonts w:ascii="Candara" w:eastAsia="ArialMT" w:hAnsi="Candara"/>
          <w:sz w:val="22"/>
        </w:rPr>
        <w:t xml:space="preserve"> pesos </w:t>
      </w:r>
      <w:r w:rsidR="005954C7" w:rsidRPr="00562186">
        <w:rPr>
          <w:rFonts w:ascii="Candara" w:eastAsia="ArialMT" w:hAnsi="Candara"/>
          <w:sz w:val="22"/>
        </w:rPr>
        <w:t>09</w:t>
      </w:r>
      <w:r w:rsidRPr="00562186">
        <w:rPr>
          <w:rFonts w:ascii="Candara" w:eastAsia="ArialMT" w:hAnsi="Candara"/>
          <w:sz w:val="22"/>
        </w:rPr>
        <w:t>/100 M.N.)</w:t>
      </w:r>
      <w:r w:rsidR="00D979D7">
        <w:rPr>
          <w:rFonts w:ascii="Candara" w:eastAsia="ArialMT" w:hAnsi="Candara"/>
          <w:sz w:val="22"/>
        </w:rPr>
        <w:t>, que r</w:t>
      </w:r>
      <w:r w:rsidRPr="00562186">
        <w:rPr>
          <w:rFonts w:ascii="Candara" w:eastAsia="ArialMT" w:hAnsi="Candara"/>
          <w:sz w:val="22"/>
        </w:rPr>
        <w:t xml:space="preserve">epresenta un </w:t>
      </w:r>
      <w:r w:rsidR="008B24DA" w:rsidRPr="00562186">
        <w:rPr>
          <w:rFonts w:ascii="Candara" w:eastAsia="ArialMT" w:hAnsi="Candara"/>
          <w:sz w:val="22"/>
        </w:rPr>
        <w:t>reducción</w:t>
      </w:r>
      <w:r w:rsidRPr="00562186">
        <w:rPr>
          <w:rFonts w:ascii="Candara" w:eastAsia="ArialMT" w:hAnsi="Candara"/>
          <w:sz w:val="22"/>
        </w:rPr>
        <w:t xml:space="preserve"> de </w:t>
      </w:r>
      <w:r w:rsidR="008B24DA" w:rsidRPr="00562186">
        <w:rPr>
          <w:rFonts w:ascii="Candara" w:eastAsia="ArialMT" w:hAnsi="Candara"/>
          <w:sz w:val="22"/>
        </w:rPr>
        <w:t>34.46</w:t>
      </w:r>
      <w:r w:rsidRPr="00562186">
        <w:rPr>
          <w:rFonts w:ascii="Candara" w:eastAsia="ArialMT" w:hAnsi="Candara"/>
          <w:sz w:val="22"/>
        </w:rPr>
        <w:t xml:space="preserve"> </w:t>
      </w:r>
      <w:proofErr w:type="gramStart"/>
      <w:r w:rsidRPr="00562186">
        <w:rPr>
          <w:rFonts w:ascii="Candara" w:eastAsia="ArialMT" w:hAnsi="Candara"/>
          <w:sz w:val="22"/>
        </w:rPr>
        <w:t xml:space="preserve">% </w:t>
      </w:r>
      <w:r w:rsidR="00D979D7">
        <w:rPr>
          <w:rFonts w:ascii="Candara" w:eastAsia="ArialMT" w:hAnsi="Candara"/>
          <w:sz w:val="22"/>
        </w:rPr>
        <w:t>.</w:t>
      </w:r>
      <w:proofErr w:type="gramEnd"/>
      <w:r w:rsidR="00D979D7">
        <w:rPr>
          <w:rFonts w:ascii="Candara" w:eastAsia="ArialMT" w:hAnsi="Candara"/>
          <w:sz w:val="22"/>
        </w:rPr>
        <w:t xml:space="preserve"> </w:t>
      </w:r>
    </w:p>
    <w:p w14:paraId="5B030E81" w14:textId="77777777" w:rsidR="004C6B90" w:rsidRPr="00562186" w:rsidRDefault="004C6B90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p w14:paraId="1F506273" w14:textId="1B572FBF" w:rsidR="00CB3976" w:rsidRPr="00562186" w:rsidRDefault="00D979D7" w:rsidP="00562186">
      <w:pPr>
        <w:spacing w:line="276" w:lineRule="auto"/>
        <w:jc w:val="both"/>
        <w:rPr>
          <w:rFonts w:ascii="Candara" w:eastAsia="ArialMT" w:hAnsi="Candara"/>
          <w:sz w:val="22"/>
        </w:rPr>
      </w:pPr>
      <w:r>
        <w:rPr>
          <w:rFonts w:ascii="Candara" w:eastAsia="ArialMT" w:hAnsi="Candara"/>
          <w:sz w:val="22"/>
        </w:rPr>
        <w:t xml:space="preserve">Si se compara el consumo de gasolina en litros en los dos ejercicios, Se muestra también una disminución de 17.96% en 2019 respecto al ejercicio anterior, pasando de un consumo absoluto de 160,748.01 litros (ciento sesenta mil y setecientos cuarenta y ocho litros) en 2018 a </w:t>
      </w:r>
      <w:r w:rsidR="00AD0784" w:rsidRPr="00562186">
        <w:rPr>
          <w:rFonts w:ascii="Candara" w:eastAsia="ArialMT" w:hAnsi="Candara"/>
          <w:sz w:val="22"/>
        </w:rPr>
        <w:t>131,876.25</w:t>
      </w:r>
      <w:r w:rsidR="00A65158" w:rsidRPr="00562186">
        <w:rPr>
          <w:rFonts w:ascii="Candara" w:eastAsia="ArialMT" w:hAnsi="Candara"/>
          <w:sz w:val="22"/>
        </w:rPr>
        <w:t xml:space="preserve"> litros </w:t>
      </w:r>
      <w:r>
        <w:rPr>
          <w:rFonts w:ascii="Candara" w:eastAsia="ArialMT" w:hAnsi="Candara"/>
          <w:sz w:val="22"/>
        </w:rPr>
        <w:t>en 2019 (ciento treinta y uno ochocientos setenta y seis litros)</w:t>
      </w:r>
      <w:r w:rsidR="008C76D9" w:rsidRPr="00562186">
        <w:rPr>
          <w:rFonts w:ascii="Candara" w:eastAsia="ArialMT" w:hAnsi="Candara"/>
          <w:sz w:val="22"/>
        </w:rPr>
        <w:t>.</w:t>
      </w:r>
    </w:p>
    <w:p w14:paraId="781198CB" w14:textId="77777777" w:rsidR="005B78ED" w:rsidRPr="00562186" w:rsidRDefault="005B78ED" w:rsidP="00562186">
      <w:pPr>
        <w:spacing w:line="276" w:lineRule="auto"/>
        <w:jc w:val="both"/>
        <w:rPr>
          <w:rFonts w:ascii="Candara" w:eastAsia="ArialMT" w:hAnsi="Candara"/>
          <w:b/>
          <w:sz w:val="22"/>
        </w:rPr>
      </w:pPr>
      <w:r w:rsidRPr="00562186">
        <w:rPr>
          <w:rFonts w:ascii="Candara" w:eastAsia="ArialMT" w:hAnsi="Candara"/>
          <w:b/>
          <w:sz w:val="22"/>
        </w:rPr>
        <w:t>Consumo de Energía Eléctrica</w:t>
      </w:r>
    </w:p>
    <w:tbl>
      <w:tblPr>
        <w:tblStyle w:val="Tablaconcuadrcula4-nfasis11"/>
        <w:tblW w:w="9395" w:type="dxa"/>
        <w:jc w:val="center"/>
        <w:tblLook w:val="04A0" w:firstRow="1" w:lastRow="0" w:firstColumn="1" w:lastColumn="0" w:noHBand="0" w:noVBand="1"/>
      </w:tblPr>
      <w:tblGrid>
        <w:gridCol w:w="1505"/>
        <w:gridCol w:w="1850"/>
        <w:gridCol w:w="1298"/>
        <w:gridCol w:w="536"/>
        <w:gridCol w:w="1501"/>
        <w:gridCol w:w="1548"/>
        <w:gridCol w:w="1171"/>
      </w:tblGrid>
      <w:tr w:rsidR="00787DCD" w:rsidRPr="00562186" w14:paraId="4954D6EC" w14:textId="77777777" w:rsidTr="00D97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ECF38" w14:textId="77777777" w:rsidR="00787DCD" w:rsidRPr="00562186" w:rsidRDefault="00787DCD" w:rsidP="00562186">
            <w:pPr>
              <w:autoSpaceDE/>
              <w:autoSpaceDN/>
              <w:spacing w:line="276" w:lineRule="auto"/>
              <w:jc w:val="center"/>
              <w:rPr>
                <w:rFonts w:ascii="Candara" w:hAnsi="Candara" w:cstheme="minorHAnsi"/>
                <w:sz w:val="22"/>
                <w:szCs w:val="22"/>
                <w:lang w:eastAsia="es-MX"/>
              </w:rPr>
            </w:pPr>
            <w:r w:rsidRPr="00562186">
              <w:rPr>
                <w:rFonts w:ascii="Candara" w:hAnsi="Candara" w:cstheme="minorHAnsi"/>
                <w:sz w:val="22"/>
                <w:szCs w:val="22"/>
                <w:lang w:eastAsia="es-MX"/>
              </w:rPr>
              <w:lastRenderedPageBreak/>
              <w:t>Facturación Energía Eléctrica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615F" w14:textId="77777777" w:rsidR="00787DCD" w:rsidRPr="00562186" w:rsidRDefault="00787DCD" w:rsidP="00562186">
            <w:pPr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2"/>
                <w:szCs w:val="22"/>
                <w:lang w:eastAsia="es-MX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46508" w14:textId="77777777" w:rsidR="00787DCD" w:rsidRPr="00562186" w:rsidRDefault="00787DCD" w:rsidP="00562186">
            <w:pPr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2"/>
                <w:szCs w:val="22"/>
                <w:lang w:eastAsia="es-MX"/>
              </w:rPr>
            </w:pPr>
            <w:r w:rsidRPr="00562186">
              <w:rPr>
                <w:rFonts w:ascii="Candara" w:hAnsi="Candara" w:cstheme="minorHAnsi"/>
                <w:sz w:val="22"/>
                <w:szCs w:val="22"/>
                <w:lang w:eastAsia="es-MX"/>
              </w:rPr>
              <w:t>Consumo Energía Eléctrica (</w:t>
            </w:r>
            <w:proofErr w:type="spellStart"/>
            <w:r w:rsidRPr="00562186">
              <w:rPr>
                <w:rFonts w:ascii="Candara" w:hAnsi="Candara" w:cstheme="minorHAnsi"/>
                <w:sz w:val="22"/>
                <w:szCs w:val="22"/>
                <w:lang w:eastAsia="es-MX"/>
              </w:rPr>
              <w:t>Kw</w:t>
            </w:r>
            <w:proofErr w:type="spellEnd"/>
            <w:r w:rsidRPr="00562186">
              <w:rPr>
                <w:rFonts w:ascii="Candara" w:hAnsi="Candara" w:cstheme="minorHAnsi"/>
                <w:sz w:val="22"/>
                <w:szCs w:val="22"/>
                <w:lang w:eastAsia="es-MX"/>
              </w:rPr>
              <w:t>)</w:t>
            </w:r>
          </w:p>
        </w:tc>
      </w:tr>
      <w:tr w:rsidR="00787DCD" w:rsidRPr="00562186" w14:paraId="13480BDE" w14:textId="77777777" w:rsidTr="00D97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5EE9B" w14:textId="77777777" w:rsidR="00787DCD" w:rsidRPr="00562186" w:rsidRDefault="00787DCD" w:rsidP="00562186">
            <w:pPr>
              <w:spacing w:line="276" w:lineRule="auto"/>
              <w:jc w:val="center"/>
              <w:rPr>
                <w:rFonts w:ascii="Candara" w:hAnsi="Candara"/>
                <w:b w:val="0"/>
                <w:sz w:val="22"/>
                <w:szCs w:val="22"/>
              </w:rPr>
            </w:pPr>
            <w:r w:rsidRPr="00562186">
              <w:rPr>
                <w:rFonts w:ascii="Candara" w:hAnsi="Candara"/>
                <w:b w:val="0"/>
                <w:sz w:val="22"/>
                <w:szCs w:val="22"/>
              </w:rPr>
              <w:t>Ejercicio 2018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F861B" w14:textId="77777777" w:rsidR="00787DCD" w:rsidRPr="00562186" w:rsidRDefault="00787DCD" w:rsidP="0056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86C76" w14:textId="77777777" w:rsidR="00787DCD" w:rsidRPr="00562186" w:rsidRDefault="00787DCD" w:rsidP="0056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Variación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BC9E" w14:textId="77777777" w:rsidR="00787DCD" w:rsidRPr="00562186" w:rsidRDefault="00787DCD" w:rsidP="00562186">
            <w:pPr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ajorHAnsi"/>
                <w:sz w:val="22"/>
                <w:szCs w:val="22"/>
                <w:lang w:eastAsia="es-MX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1CA65" w14:textId="77777777" w:rsidR="00787DCD" w:rsidRPr="00562186" w:rsidRDefault="00787DCD" w:rsidP="0056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E6C19" w14:textId="77777777" w:rsidR="00787DCD" w:rsidRPr="00562186" w:rsidRDefault="00787DCD" w:rsidP="0056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Ejercicio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5A1AC" w14:textId="77777777" w:rsidR="00787DCD" w:rsidRPr="00562186" w:rsidRDefault="00787DCD" w:rsidP="0056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Variación</w:t>
            </w:r>
          </w:p>
        </w:tc>
      </w:tr>
      <w:tr w:rsidR="00787DCD" w:rsidRPr="00562186" w14:paraId="67B7809E" w14:textId="77777777" w:rsidTr="00D979D7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DFC08F5" w14:textId="77777777" w:rsidR="00787DCD" w:rsidRPr="00562186" w:rsidRDefault="00787DCD" w:rsidP="00562186">
            <w:pPr>
              <w:spacing w:line="276" w:lineRule="auto"/>
              <w:jc w:val="center"/>
              <w:rPr>
                <w:rFonts w:ascii="Candara" w:hAnsi="Candara"/>
                <w:b w:val="0"/>
                <w:sz w:val="22"/>
                <w:szCs w:val="22"/>
              </w:rPr>
            </w:pPr>
            <w:r w:rsidRPr="00562186">
              <w:rPr>
                <w:rFonts w:ascii="Candara" w:hAnsi="Candara"/>
                <w:b w:val="0"/>
                <w:sz w:val="22"/>
                <w:szCs w:val="22"/>
              </w:rPr>
              <w:t>$4,759,578.00 pesos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8F07984" w14:textId="77777777" w:rsidR="00787DCD" w:rsidRPr="00562186" w:rsidRDefault="00787DCD" w:rsidP="005621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$4,938,721.00 pesos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C72A6FB" w14:textId="77777777" w:rsidR="00787DCD" w:rsidRPr="00562186" w:rsidRDefault="00787DCD" w:rsidP="005621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3.76%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9F7B" w14:textId="77777777" w:rsidR="00787DCD" w:rsidRPr="00562186" w:rsidRDefault="00787DCD" w:rsidP="00562186">
            <w:pPr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ajorHAnsi"/>
                <w:sz w:val="22"/>
                <w:szCs w:val="22"/>
                <w:lang w:eastAsia="es-MX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8FF29A5" w14:textId="77777777" w:rsidR="00787DCD" w:rsidRPr="00562186" w:rsidRDefault="00787DCD" w:rsidP="005621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1,887,745</w:t>
            </w:r>
            <w:r w:rsidR="002669F0" w:rsidRPr="00562186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2669F0" w:rsidRPr="00562186">
              <w:rPr>
                <w:rFonts w:ascii="Candara" w:hAnsi="Candara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FED716F" w14:textId="77777777" w:rsidR="00787DCD" w:rsidRPr="00562186" w:rsidRDefault="00787DCD" w:rsidP="005621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1,353,865</w:t>
            </w:r>
            <w:r w:rsidR="002669F0" w:rsidRPr="00562186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2669F0" w:rsidRPr="00562186">
              <w:rPr>
                <w:rFonts w:ascii="Candara" w:hAnsi="Candara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325AF00" w14:textId="77777777" w:rsidR="00787DCD" w:rsidRPr="00562186" w:rsidRDefault="00787DCD" w:rsidP="005621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562186">
              <w:rPr>
                <w:rFonts w:ascii="Candara" w:hAnsi="Candara"/>
                <w:sz w:val="22"/>
                <w:szCs w:val="22"/>
              </w:rPr>
              <w:t>-28.28%</w:t>
            </w:r>
          </w:p>
        </w:tc>
      </w:tr>
    </w:tbl>
    <w:p w14:paraId="05CE23A4" w14:textId="77777777" w:rsidR="00E86BA6" w:rsidRPr="00562186" w:rsidRDefault="00E86BA6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p w14:paraId="7374DAB4" w14:textId="77777777" w:rsidR="00E53538" w:rsidRDefault="00E53538" w:rsidP="00562186">
      <w:pPr>
        <w:spacing w:line="276" w:lineRule="auto"/>
        <w:jc w:val="both"/>
        <w:rPr>
          <w:rFonts w:ascii="Candara" w:eastAsia="ArialMT" w:hAnsi="Candara"/>
          <w:sz w:val="22"/>
        </w:rPr>
      </w:pPr>
      <w:r w:rsidRPr="00562186">
        <w:rPr>
          <w:rFonts w:ascii="Candara" w:eastAsia="ArialMT" w:hAnsi="Candara"/>
          <w:sz w:val="22"/>
        </w:rPr>
        <w:t>Durante el ejercicio 2018 el consumo de energía eléctrica fue de 1, 887,745 kilowatts, mientras que durante el ejercicio 2019 el consumo fue de 1, 353,865 kilowatts,</w:t>
      </w:r>
      <w:r w:rsidRPr="00562186">
        <w:rPr>
          <w:rFonts w:ascii="Candara" w:eastAsia="ArialMT" w:hAnsi="Candara"/>
          <w:b/>
          <w:sz w:val="22"/>
        </w:rPr>
        <w:t xml:space="preserve"> </w:t>
      </w:r>
      <w:r w:rsidRPr="00562186">
        <w:rPr>
          <w:rFonts w:ascii="Candara" w:eastAsia="ArialMT" w:hAnsi="Candara"/>
          <w:sz w:val="22"/>
        </w:rPr>
        <w:t xml:space="preserve">lo que representa una reducción de 28.28 %. </w:t>
      </w:r>
      <w:r>
        <w:rPr>
          <w:rFonts w:ascii="Candara" w:eastAsia="ArialMT" w:hAnsi="Candara"/>
          <w:sz w:val="22"/>
        </w:rPr>
        <w:t xml:space="preserve"> Esta situación se logró gracias a esfuerzos colectivos promovidos por las coordinaciones de las cinco unidades</w:t>
      </w:r>
      <w:r w:rsidRPr="00562186">
        <w:rPr>
          <w:rFonts w:ascii="Candara" w:eastAsia="ArialMT" w:hAnsi="Candara"/>
          <w:sz w:val="22"/>
        </w:rPr>
        <w:t xml:space="preserve">, </w:t>
      </w:r>
      <w:r>
        <w:rPr>
          <w:rFonts w:ascii="Candara" w:eastAsia="ArialMT" w:hAnsi="Candara"/>
          <w:sz w:val="22"/>
        </w:rPr>
        <w:t xml:space="preserve">sobre la necesidad de ahorro. Desgraciadamente, la reducción del consumo </w:t>
      </w:r>
      <w:r w:rsidRPr="00562186">
        <w:rPr>
          <w:rFonts w:ascii="Candara" w:eastAsia="ArialMT" w:hAnsi="Candara"/>
          <w:sz w:val="22"/>
        </w:rPr>
        <w:t>no se ve reflejad</w:t>
      </w:r>
      <w:r>
        <w:rPr>
          <w:rFonts w:ascii="Candara" w:eastAsia="ArialMT" w:hAnsi="Candara"/>
          <w:sz w:val="22"/>
        </w:rPr>
        <w:t>a</w:t>
      </w:r>
      <w:r w:rsidRPr="00562186">
        <w:rPr>
          <w:rFonts w:ascii="Candara" w:eastAsia="ArialMT" w:hAnsi="Candara"/>
          <w:sz w:val="22"/>
        </w:rPr>
        <w:t xml:space="preserve"> en los costos debido a los incrementos en las tarifas de la CFE</w:t>
      </w:r>
      <w:r>
        <w:rPr>
          <w:rFonts w:ascii="Candara" w:eastAsia="ArialMT" w:hAnsi="Candara"/>
          <w:sz w:val="22"/>
        </w:rPr>
        <w:t>, como lo muestra la Tabla arriba</w:t>
      </w:r>
      <w:r w:rsidRPr="00562186">
        <w:rPr>
          <w:rFonts w:ascii="Candara" w:eastAsia="ArialMT" w:hAnsi="Candara"/>
          <w:sz w:val="22"/>
        </w:rPr>
        <w:t>.</w:t>
      </w:r>
      <w:r>
        <w:rPr>
          <w:rFonts w:ascii="Candara" w:eastAsia="ArialMT" w:hAnsi="Candara"/>
          <w:sz w:val="22"/>
        </w:rPr>
        <w:t xml:space="preserve"> </w:t>
      </w:r>
    </w:p>
    <w:p w14:paraId="79A39423" w14:textId="77777777" w:rsidR="00E53538" w:rsidRDefault="00E53538" w:rsidP="00562186">
      <w:pPr>
        <w:spacing w:line="276" w:lineRule="auto"/>
        <w:jc w:val="both"/>
        <w:rPr>
          <w:rFonts w:ascii="Candara" w:eastAsia="ArialMT" w:hAnsi="Candara"/>
          <w:sz w:val="22"/>
        </w:rPr>
      </w:pPr>
    </w:p>
    <w:p w14:paraId="1AFF5872" w14:textId="108BE44D" w:rsidR="00E53538" w:rsidRDefault="00E53538" w:rsidP="004B2730">
      <w:pPr>
        <w:spacing w:line="276" w:lineRule="auto"/>
        <w:jc w:val="both"/>
        <w:rPr>
          <w:rFonts w:ascii="Candara" w:eastAsia="ArialMT" w:hAnsi="Candara"/>
          <w:sz w:val="22"/>
        </w:rPr>
      </w:pPr>
      <w:r>
        <w:rPr>
          <w:rFonts w:ascii="Candara" w:eastAsia="ArialMT" w:hAnsi="Candara"/>
          <w:sz w:val="22"/>
        </w:rPr>
        <w:t>Cabe señalar que</w:t>
      </w:r>
      <w:r w:rsidR="004B2730">
        <w:rPr>
          <w:rFonts w:ascii="Candara" w:eastAsia="ArialMT" w:hAnsi="Candara"/>
          <w:sz w:val="22"/>
        </w:rPr>
        <w:t>,</w:t>
      </w:r>
      <w:r>
        <w:rPr>
          <w:rFonts w:ascii="Candara" w:eastAsia="ArialMT" w:hAnsi="Candara"/>
          <w:sz w:val="22"/>
        </w:rPr>
        <w:t xml:space="preserve"> </w:t>
      </w:r>
      <w:r w:rsidR="00484F24">
        <w:rPr>
          <w:rFonts w:ascii="Candara" w:eastAsia="ArialMT" w:hAnsi="Candara"/>
          <w:sz w:val="22"/>
        </w:rPr>
        <w:t xml:space="preserve">desde marzo de 2017, </w:t>
      </w:r>
      <w:r>
        <w:rPr>
          <w:rFonts w:ascii="Candara" w:eastAsia="ArialMT" w:hAnsi="Candara"/>
          <w:sz w:val="22"/>
        </w:rPr>
        <w:t xml:space="preserve">ECOSUR ha instalado formalmente el </w:t>
      </w:r>
      <w:r w:rsidRPr="00E53538">
        <w:rPr>
          <w:rFonts w:ascii="Candara" w:eastAsia="ArialMT" w:hAnsi="Candara"/>
          <w:sz w:val="22"/>
        </w:rPr>
        <w:t>Comité Interno para el Ahorro de Energía (CIAE)</w:t>
      </w:r>
      <w:r w:rsidR="00484F24">
        <w:rPr>
          <w:rFonts w:ascii="Candara" w:eastAsia="ArialMT" w:hAnsi="Candara"/>
          <w:sz w:val="22"/>
        </w:rPr>
        <w:t xml:space="preserve"> derivado de la Comisión </w:t>
      </w:r>
      <w:r w:rsidR="00484F24" w:rsidRPr="00484F24">
        <w:rPr>
          <w:rFonts w:ascii="Candara" w:eastAsia="ArialMT" w:hAnsi="Candara"/>
          <w:sz w:val="22"/>
        </w:rPr>
        <w:t>Nacional para el Uso Eficiente de la Energía</w:t>
      </w:r>
      <w:r w:rsidR="00484F24">
        <w:rPr>
          <w:rFonts w:ascii="Candara" w:eastAsia="ArialMT" w:hAnsi="Candara"/>
          <w:sz w:val="22"/>
        </w:rPr>
        <w:t xml:space="preserve"> (CONUEE). Igualmente</w:t>
      </w:r>
      <w:r w:rsidR="004B2730">
        <w:rPr>
          <w:rFonts w:ascii="Candara" w:eastAsia="ArialMT" w:hAnsi="Candara"/>
          <w:sz w:val="22"/>
        </w:rPr>
        <w:t xml:space="preserve">, desde 2002, existe dentro de la institución un </w:t>
      </w:r>
      <w:r w:rsidR="004B2730" w:rsidRPr="004B2730">
        <w:rPr>
          <w:rFonts w:ascii="Candara" w:eastAsia="ArialMT" w:hAnsi="Candara"/>
          <w:sz w:val="22"/>
        </w:rPr>
        <w:t>Plan Ambiental (PAECOSUR)</w:t>
      </w:r>
      <w:r w:rsidR="004B2730">
        <w:rPr>
          <w:rFonts w:ascii="Candara" w:eastAsia="ArialMT" w:hAnsi="Candara"/>
          <w:sz w:val="22"/>
        </w:rPr>
        <w:t>, conformado por personas voluntarias y que</w:t>
      </w:r>
      <w:r w:rsidR="004B2730" w:rsidRPr="004B2730">
        <w:rPr>
          <w:rFonts w:ascii="Candara" w:eastAsia="ArialMT" w:hAnsi="Candara"/>
          <w:sz w:val="22"/>
        </w:rPr>
        <w:t xml:space="preserve"> tiene como propósito mejorar el desempeño ambiental institucional a través de promover una cultura de responsabilidad y la aplicación de criterios ambientales que contribuyan a la sustentabilidad</w:t>
      </w:r>
      <w:r w:rsidR="004B2730">
        <w:rPr>
          <w:rFonts w:ascii="Candara" w:eastAsia="ArialMT" w:hAnsi="Candara"/>
          <w:sz w:val="22"/>
        </w:rPr>
        <w:t xml:space="preserve"> y a la congruencia</w:t>
      </w:r>
      <w:r w:rsidR="004B2730" w:rsidRPr="004B2730">
        <w:rPr>
          <w:rFonts w:ascii="Candara" w:eastAsia="ArialMT" w:hAnsi="Candara"/>
          <w:sz w:val="22"/>
        </w:rPr>
        <w:t>. Se atienden aspectos críticos como manejo de residuos sólidos y peligrosos, consumo responsable, conservación de la biodiversidad y educación ambiental.</w:t>
      </w:r>
      <w:r w:rsidR="004B2730">
        <w:rPr>
          <w:rFonts w:ascii="Candara" w:eastAsia="ArialMT" w:hAnsi="Candara"/>
          <w:sz w:val="22"/>
        </w:rPr>
        <w:t xml:space="preserve"> Este </w:t>
      </w:r>
      <w:r w:rsidR="004B2730" w:rsidRPr="004B2730">
        <w:rPr>
          <w:rFonts w:ascii="Candara" w:eastAsia="ArialMT" w:hAnsi="Candara"/>
          <w:sz w:val="22"/>
        </w:rPr>
        <w:t>PAECOSUR forma parte de la Red de Programas Ambientales Institucionales del Consejo Regional Sur-Sureste de la Asociación Nacional de Universidades e Instituciones de Educación Superi</w:t>
      </w:r>
      <w:bookmarkStart w:id="1" w:name="_GoBack"/>
      <w:bookmarkEnd w:id="1"/>
      <w:r w:rsidR="004B2730" w:rsidRPr="004B2730">
        <w:rPr>
          <w:rFonts w:ascii="Candara" w:eastAsia="ArialMT" w:hAnsi="Candara"/>
          <w:sz w:val="22"/>
        </w:rPr>
        <w:t>or.</w:t>
      </w:r>
      <w:r w:rsidR="00484F24">
        <w:rPr>
          <w:rFonts w:ascii="Candara" w:eastAsia="ArialMT" w:hAnsi="Candara"/>
          <w:sz w:val="22"/>
        </w:rPr>
        <w:t xml:space="preserve"> </w:t>
      </w:r>
      <w:r w:rsidR="00642823">
        <w:rPr>
          <w:rFonts w:ascii="Candara" w:eastAsia="ArialMT" w:hAnsi="Candara"/>
          <w:sz w:val="22"/>
        </w:rPr>
        <w:t>A</w:t>
      </w:r>
      <w:r w:rsidR="003A6D6D">
        <w:rPr>
          <w:rFonts w:ascii="Candara" w:eastAsia="ArialMT" w:hAnsi="Candara"/>
          <w:sz w:val="22"/>
        </w:rPr>
        <w:t>ctúa como ente asesora del CIAE.</w:t>
      </w:r>
    </w:p>
    <w:sectPr w:rsidR="00E53538" w:rsidSect="00A87112">
      <w:headerReference w:type="default" r:id="rId10"/>
      <w:footerReference w:type="default" r:id="rId11"/>
      <w:pgSz w:w="12240" w:h="15840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05E4" w14:textId="77777777" w:rsidR="00681BF2" w:rsidRDefault="00681BF2" w:rsidP="00711955">
      <w:r>
        <w:separator/>
      </w:r>
    </w:p>
  </w:endnote>
  <w:endnote w:type="continuationSeparator" w:id="0">
    <w:p w14:paraId="34C911F6" w14:textId="77777777" w:rsidR="00681BF2" w:rsidRDefault="00681BF2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A4869" w14:textId="20D560E9" w:rsidR="003E10EA" w:rsidRPr="00B61124" w:rsidRDefault="0016697C" w:rsidP="001D1A72">
    <w:pPr>
      <w:pStyle w:val="Piedepgina"/>
      <w:jc w:val="right"/>
      <w:rPr>
        <w:rFonts w:ascii="Candara" w:hAnsi="Candara"/>
        <w:color w:val="A6A6A6" w:themeColor="background1" w:themeShade="A6"/>
        <w:sz w:val="18"/>
        <w:szCs w:val="18"/>
      </w:rPr>
    </w:pPr>
    <w:r>
      <w:rPr>
        <w:rFonts w:ascii="Candara" w:hAnsi="Candara"/>
        <w:noProof/>
        <w:color w:val="A6A6A6" w:themeColor="background1" w:themeShade="A6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057B4" wp14:editId="2BE8F31D">
              <wp:simplePos x="0" y="0"/>
              <wp:positionH relativeFrom="column">
                <wp:posOffset>4746625</wp:posOffset>
              </wp:positionH>
              <wp:positionV relativeFrom="paragraph">
                <wp:posOffset>26670</wp:posOffset>
              </wp:positionV>
              <wp:extent cx="347980" cy="457200"/>
              <wp:effectExtent l="2540" t="0" r="16510" b="16510"/>
              <wp:wrapNone/>
              <wp:docPr id="63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479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5D074" w14:textId="4BE9AA4D" w:rsidR="0016697C" w:rsidRDefault="0016697C">
                          <w:pPr>
                            <w:pStyle w:val="Piedepgina"/>
                            <w:jc w:val="center"/>
                          </w:pPr>
                          <w:r>
                            <w:t>Pág.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16697C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6" style="position:absolute;left:0;text-align:left;margin-left:373.75pt;margin-top:2.1pt;width:27.4pt;height:36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WMLgIAAFYEAAAOAAAAZHJzL2Uyb0RvYy54bWysVFFv2jAQfp+0/2D5fQQoUECEqqLrNKnb&#10;qnX7AY7jJNYcn3c2JN2v79lBQLeHSdN4sHy+85f7vu/M5qZvDTso9BpsziejMWfKSii1rXP+/dv9&#10;uyVnPghbCgNW5fxZeX6zfftm07m1mkIDplTICMT6dedy3oTg1lnmZaNa4UfglKVkBdiKQCHWWYmi&#10;I/TWZNPxeJF1gKVDkMp7Or0bknyb8KtKyfClqrwKzOScegtpxbQWcc22G7GuUbhGy2Mb4h+6aIW2&#10;9NET1J0Igu1R/wHVaongoQojCW0GVaWlShyIzWT8G5unRjiVuJA43p1k8v8PVn4+PCLTZc4XV3PO&#10;rGjJpK8km7C1UWw6jQp1zq+p8Mk9YuTo3QPIH55Z2DVUpm4RoWuUKKmvSazPXl2IgaerrOg+QUnw&#10;Yh8gidVX2DIEMmWyIDPpl45JFdYni55PFqk+MEmHV7Pr1ZKMlJSaza/pVvqgWEes2JxDHz4oaFnc&#10;5ByJSgIVhwcfYm/nksQFjC7vtTEpiFOndgbZQdC8FPXAhhhfVhnLupyv5tN5An6VS3P7V4RWBxp6&#10;o9ucLwfaaQyjhO9tmfZBaDPsqWFjj5pGGQc7Ql/0VBi1LaB8JnWTjqQMPUbi3QD+4qyjwc65/7kX&#10;qDgzHy05tJrMZvElpCBJyBleZorLjLCSoHIeOBu2uzC8nr1DXTfRuqSChVtytdJJ4nNXx75peJPy&#10;x4cWX8dlnKrOfwfbFwAAAP//AwBQSwMEFAAGAAgAAAAhACZf2KDeAAAACQEAAA8AAABkcnMvZG93&#10;bnJldi54bWxMj0FPg0AQhe8m/ofNmHizCzUBpCwNGk0vHmxt4nXLToGUnUV2W/DfO57qcd778ua9&#10;Yj3bXlxw9J0jBfEiAoFUO9NRo2D/+faQgfBBk9G9I1Twgx7W5e1NoXPjJtriZRcawSHkc62gDWHI&#10;pfR1i1b7hRuQ2Du60erA59hIM+qJw20vl1GUSKs74g+tHvClxfq0O1sF8z7W2yo9fm3eN/Ra9c8f&#10;2XcyKXV/N1crEAHncIXhrz5Xh5I7HdyZjBe9gvQxe2KUjSVPYCCLIxYOCpI0AVkW8v+C8hcAAP//&#10;AwBQSwECLQAUAAYACAAAACEAtoM4kv4AAADhAQAAEwAAAAAAAAAAAAAAAAAAAAAAW0NvbnRlbnRf&#10;VHlwZXNdLnhtbFBLAQItABQABgAIAAAAIQA4/SH/1gAAAJQBAAALAAAAAAAAAAAAAAAAAC8BAABf&#10;cmVscy8ucmVsc1BLAQItABQABgAIAAAAIQDQReWMLgIAAFYEAAAOAAAAAAAAAAAAAAAAAC4CAABk&#10;cnMvZTJvRG9jLnhtbFBLAQItABQABgAIAAAAIQAmX9ig3gAAAAkBAAAPAAAAAAAAAAAAAAAAAIgE&#10;AABkcnMvZG93bnJldi54bWxQSwUGAAAAAAQABADzAAAAkwUAAAAA&#10;" fillcolor="white [3212]" strokecolor="white [3212]">
              <v:textbox>
                <w:txbxContent>
                  <w:p w14:paraId="4AE5D074" w14:textId="4BE9AA4D" w:rsidR="0016697C" w:rsidRDefault="0016697C">
                    <w:pPr>
                      <w:pStyle w:val="Piedepgina"/>
                      <w:jc w:val="center"/>
                    </w:pPr>
                    <w:r>
                      <w:t>Pág.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16697C">
                      <w:rPr>
                        <w:noProof/>
                        <w:lang w:val="es-ES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ndara" w:eastAsia="Batang" w:hAnsi="Candara"/>
        <w:b/>
        <w:noProof/>
        <w:color w:val="A6A6A6" w:themeColor="background1" w:themeShade="A6"/>
        <w:sz w:val="18"/>
        <w:szCs w:val="18"/>
        <w:lang w:eastAsia="es-MX"/>
      </w:rPr>
      <w:drawing>
        <wp:inline distT="0" distB="0" distL="0" distR="0" wp14:anchorId="51CEA8A8" wp14:editId="26E30687">
          <wp:extent cx="5947576" cy="779228"/>
          <wp:effectExtent l="0" t="0" r="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185" cy="789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3480" w14:textId="77777777" w:rsidR="00681BF2" w:rsidRDefault="00681BF2" w:rsidP="00711955">
      <w:r>
        <w:separator/>
      </w:r>
    </w:p>
  </w:footnote>
  <w:footnote w:type="continuationSeparator" w:id="0">
    <w:p w14:paraId="1E285D2C" w14:textId="77777777" w:rsidR="00681BF2" w:rsidRDefault="00681BF2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D127" w14:textId="52D688FA" w:rsidR="00562186" w:rsidRDefault="00562186">
    <w:pPr>
      <w:pStyle w:val="Encabezado"/>
      <w:rPr>
        <w:color w:val="A6A6A6" w:themeColor="background1" w:themeShade="A6"/>
      </w:rPr>
    </w:pPr>
    <w:r>
      <w:rPr>
        <w:noProof/>
        <w:color w:val="A6A6A6" w:themeColor="background1" w:themeShade="A6"/>
        <w:lang w:eastAsia="es-MX"/>
      </w:rPr>
      <w:drawing>
        <wp:anchor distT="0" distB="0" distL="114300" distR="114300" simplePos="0" relativeHeight="251658240" behindDoc="0" locked="0" layoutInCell="1" allowOverlap="1" wp14:anchorId="45F82834" wp14:editId="3DD636B8">
          <wp:simplePos x="0" y="0"/>
          <wp:positionH relativeFrom="column">
            <wp:posOffset>-47073</wp:posOffset>
          </wp:positionH>
          <wp:positionV relativeFrom="paragraph">
            <wp:posOffset>-206017</wp:posOffset>
          </wp:positionV>
          <wp:extent cx="6010910" cy="871855"/>
          <wp:effectExtent l="0" t="0" r="889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2B7E8" w14:textId="7EE4B819" w:rsidR="00562186" w:rsidRDefault="00562186">
    <w:pPr>
      <w:pStyle w:val="Encabezado"/>
      <w:rPr>
        <w:color w:val="A6A6A6" w:themeColor="background1" w:themeShade="A6"/>
      </w:rPr>
    </w:pPr>
  </w:p>
  <w:p w14:paraId="4557635C" w14:textId="77777777" w:rsidR="00562186" w:rsidRDefault="00562186">
    <w:pPr>
      <w:pStyle w:val="Encabezado"/>
      <w:rPr>
        <w:color w:val="A6A6A6" w:themeColor="background1" w:themeShade="A6"/>
      </w:rPr>
    </w:pPr>
  </w:p>
  <w:p w14:paraId="38652823" w14:textId="72FBF852" w:rsidR="00562186" w:rsidRDefault="00562186">
    <w:pPr>
      <w:pStyle w:val="Encabezado"/>
      <w:rPr>
        <w:color w:val="A6A6A6" w:themeColor="background1" w:themeShade="A6"/>
      </w:rPr>
    </w:pPr>
  </w:p>
  <w:p w14:paraId="4A17334B" w14:textId="3487A520" w:rsidR="00711955" w:rsidRPr="00B61124" w:rsidRDefault="00711955">
    <w:pPr>
      <w:pStyle w:val="Encabezado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96"/>
    <w:multiLevelType w:val="hybridMultilevel"/>
    <w:tmpl w:val="7F20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6500"/>
    <w:multiLevelType w:val="hybridMultilevel"/>
    <w:tmpl w:val="1514F7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3826"/>
    <w:multiLevelType w:val="hybridMultilevel"/>
    <w:tmpl w:val="1328462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55"/>
    <w:rsid w:val="00036289"/>
    <w:rsid w:val="000827D0"/>
    <w:rsid w:val="00086E4B"/>
    <w:rsid w:val="000A239B"/>
    <w:rsid w:val="00106FE1"/>
    <w:rsid w:val="00112B56"/>
    <w:rsid w:val="00135372"/>
    <w:rsid w:val="00137398"/>
    <w:rsid w:val="00137E0B"/>
    <w:rsid w:val="001419F1"/>
    <w:rsid w:val="00143B2A"/>
    <w:rsid w:val="001522EE"/>
    <w:rsid w:val="001607BD"/>
    <w:rsid w:val="0016697C"/>
    <w:rsid w:val="001A627A"/>
    <w:rsid w:val="001B426B"/>
    <w:rsid w:val="001D1A72"/>
    <w:rsid w:val="001E2B42"/>
    <w:rsid w:val="002005F5"/>
    <w:rsid w:val="00202CA1"/>
    <w:rsid w:val="00221948"/>
    <w:rsid w:val="00222EA4"/>
    <w:rsid w:val="002669F0"/>
    <w:rsid w:val="00266CCC"/>
    <w:rsid w:val="00273ECA"/>
    <w:rsid w:val="002870BF"/>
    <w:rsid w:val="00291C07"/>
    <w:rsid w:val="002A278C"/>
    <w:rsid w:val="002B1989"/>
    <w:rsid w:val="002C723E"/>
    <w:rsid w:val="002D7A6F"/>
    <w:rsid w:val="00302CD6"/>
    <w:rsid w:val="00305D07"/>
    <w:rsid w:val="003144D5"/>
    <w:rsid w:val="0032449D"/>
    <w:rsid w:val="003270D1"/>
    <w:rsid w:val="00342BD7"/>
    <w:rsid w:val="00352D95"/>
    <w:rsid w:val="0036778C"/>
    <w:rsid w:val="00393D24"/>
    <w:rsid w:val="003A3E6B"/>
    <w:rsid w:val="003A6D6D"/>
    <w:rsid w:val="003B5F56"/>
    <w:rsid w:val="003C046E"/>
    <w:rsid w:val="003C1E44"/>
    <w:rsid w:val="003C4E6E"/>
    <w:rsid w:val="003C6442"/>
    <w:rsid w:val="003D5871"/>
    <w:rsid w:val="003E10EA"/>
    <w:rsid w:val="003E1B4A"/>
    <w:rsid w:val="003F515A"/>
    <w:rsid w:val="003F73A9"/>
    <w:rsid w:val="00416607"/>
    <w:rsid w:val="00426A8B"/>
    <w:rsid w:val="0043049F"/>
    <w:rsid w:val="004310B0"/>
    <w:rsid w:val="0046182D"/>
    <w:rsid w:val="004724E6"/>
    <w:rsid w:val="00484F24"/>
    <w:rsid w:val="00490AD6"/>
    <w:rsid w:val="00490B04"/>
    <w:rsid w:val="00495D90"/>
    <w:rsid w:val="004A32CD"/>
    <w:rsid w:val="004B2730"/>
    <w:rsid w:val="004B3F38"/>
    <w:rsid w:val="004C4386"/>
    <w:rsid w:val="004C6B90"/>
    <w:rsid w:val="004D7044"/>
    <w:rsid w:val="004E6A2D"/>
    <w:rsid w:val="004F73BB"/>
    <w:rsid w:val="00513B89"/>
    <w:rsid w:val="00520591"/>
    <w:rsid w:val="00523744"/>
    <w:rsid w:val="00530154"/>
    <w:rsid w:val="00545A9E"/>
    <w:rsid w:val="00550614"/>
    <w:rsid w:val="00555255"/>
    <w:rsid w:val="00562186"/>
    <w:rsid w:val="00576D36"/>
    <w:rsid w:val="00580850"/>
    <w:rsid w:val="00582CA9"/>
    <w:rsid w:val="00584494"/>
    <w:rsid w:val="00591E92"/>
    <w:rsid w:val="00593278"/>
    <w:rsid w:val="005954C7"/>
    <w:rsid w:val="005A7F1F"/>
    <w:rsid w:val="005B63E3"/>
    <w:rsid w:val="005B78ED"/>
    <w:rsid w:val="005D3E53"/>
    <w:rsid w:val="0061503A"/>
    <w:rsid w:val="0062094B"/>
    <w:rsid w:val="00624AC3"/>
    <w:rsid w:val="00633D5A"/>
    <w:rsid w:val="00642823"/>
    <w:rsid w:val="00652305"/>
    <w:rsid w:val="00655AF6"/>
    <w:rsid w:val="00661FF3"/>
    <w:rsid w:val="00676C29"/>
    <w:rsid w:val="00681238"/>
    <w:rsid w:val="00681BF2"/>
    <w:rsid w:val="00682D1B"/>
    <w:rsid w:val="00683904"/>
    <w:rsid w:val="006E258C"/>
    <w:rsid w:val="006F228F"/>
    <w:rsid w:val="006F76F8"/>
    <w:rsid w:val="006F779A"/>
    <w:rsid w:val="00710811"/>
    <w:rsid w:val="00711955"/>
    <w:rsid w:val="00734F74"/>
    <w:rsid w:val="00750805"/>
    <w:rsid w:val="0076168B"/>
    <w:rsid w:val="00761991"/>
    <w:rsid w:val="0076470C"/>
    <w:rsid w:val="00770659"/>
    <w:rsid w:val="00773523"/>
    <w:rsid w:val="00774CB1"/>
    <w:rsid w:val="007753EE"/>
    <w:rsid w:val="00787DCD"/>
    <w:rsid w:val="00795C49"/>
    <w:rsid w:val="007A4F79"/>
    <w:rsid w:val="007B78EC"/>
    <w:rsid w:val="007E67D1"/>
    <w:rsid w:val="0080515D"/>
    <w:rsid w:val="008268D3"/>
    <w:rsid w:val="008278C7"/>
    <w:rsid w:val="00833551"/>
    <w:rsid w:val="00840D89"/>
    <w:rsid w:val="00850290"/>
    <w:rsid w:val="00863704"/>
    <w:rsid w:val="008B24DA"/>
    <w:rsid w:val="008C16EF"/>
    <w:rsid w:val="008C76D9"/>
    <w:rsid w:val="008D64D9"/>
    <w:rsid w:val="008E5C79"/>
    <w:rsid w:val="008E7264"/>
    <w:rsid w:val="00904C1B"/>
    <w:rsid w:val="009775B2"/>
    <w:rsid w:val="0099782A"/>
    <w:rsid w:val="009D0A42"/>
    <w:rsid w:val="009D6F6C"/>
    <w:rsid w:val="009E73E1"/>
    <w:rsid w:val="009F3AE5"/>
    <w:rsid w:val="00A16267"/>
    <w:rsid w:val="00A47D60"/>
    <w:rsid w:val="00A603C5"/>
    <w:rsid w:val="00A61A02"/>
    <w:rsid w:val="00A65158"/>
    <w:rsid w:val="00A86DE9"/>
    <w:rsid w:val="00A87112"/>
    <w:rsid w:val="00A95B62"/>
    <w:rsid w:val="00A973AC"/>
    <w:rsid w:val="00AB78C0"/>
    <w:rsid w:val="00AD0784"/>
    <w:rsid w:val="00AF496E"/>
    <w:rsid w:val="00AF6BA3"/>
    <w:rsid w:val="00B115FD"/>
    <w:rsid w:val="00B227DA"/>
    <w:rsid w:val="00B53A30"/>
    <w:rsid w:val="00B555A8"/>
    <w:rsid w:val="00B56B1C"/>
    <w:rsid w:val="00B61124"/>
    <w:rsid w:val="00B67328"/>
    <w:rsid w:val="00B80FC0"/>
    <w:rsid w:val="00B81E28"/>
    <w:rsid w:val="00BC05F9"/>
    <w:rsid w:val="00BC352E"/>
    <w:rsid w:val="00BD4F8E"/>
    <w:rsid w:val="00BE7214"/>
    <w:rsid w:val="00C01DEA"/>
    <w:rsid w:val="00C04CF1"/>
    <w:rsid w:val="00C31391"/>
    <w:rsid w:val="00C47B35"/>
    <w:rsid w:val="00C532AC"/>
    <w:rsid w:val="00C641D7"/>
    <w:rsid w:val="00C75FC0"/>
    <w:rsid w:val="00C94794"/>
    <w:rsid w:val="00CB2F78"/>
    <w:rsid w:val="00CB3976"/>
    <w:rsid w:val="00CB54B0"/>
    <w:rsid w:val="00CE4DBC"/>
    <w:rsid w:val="00CF4ED1"/>
    <w:rsid w:val="00D005F1"/>
    <w:rsid w:val="00D009BF"/>
    <w:rsid w:val="00D3137B"/>
    <w:rsid w:val="00D371EE"/>
    <w:rsid w:val="00D51870"/>
    <w:rsid w:val="00D55A14"/>
    <w:rsid w:val="00D56B82"/>
    <w:rsid w:val="00D601F3"/>
    <w:rsid w:val="00D9339A"/>
    <w:rsid w:val="00D9658E"/>
    <w:rsid w:val="00D979D7"/>
    <w:rsid w:val="00DB5B32"/>
    <w:rsid w:val="00DC2175"/>
    <w:rsid w:val="00DC34D6"/>
    <w:rsid w:val="00DF6441"/>
    <w:rsid w:val="00DF7CCE"/>
    <w:rsid w:val="00E1415B"/>
    <w:rsid w:val="00E25D6B"/>
    <w:rsid w:val="00E452DD"/>
    <w:rsid w:val="00E53538"/>
    <w:rsid w:val="00E55365"/>
    <w:rsid w:val="00E5559C"/>
    <w:rsid w:val="00E55B68"/>
    <w:rsid w:val="00E6654E"/>
    <w:rsid w:val="00E76868"/>
    <w:rsid w:val="00E86BA6"/>
    <w:rsid w:val="00EA0FAB"/>
    <w:rsid w:val="00EA4C39"/>
    <w:rsid w:val="00EB1CE4"/>
    <w:rsid w:val="00EB4ECC"/>
    <w:rsid w:val="00EC473A"/>
    <w:rsid w:val="00EC498A"/>
    <w:rsid w:val="00ED2DC5"/>
    <w:rsid w:val="00EE3540"/>
    <w:rsid w:val="00EF7059"/>
    <w:rsid w:val="00F20422"/>
    <w:rsid w:val="00F32C08"/>
    <w:rsid w:val="00F416BA"/>
    <w:rsid w:val="00F6651A"/>
    <w:rsid w:val="00F94BD5"/>
    <w:rsid w:val="00F95D57"/>
    <w:rsid w:val="00FB087F"/>
    <w:rsid w:val="00FD2BF4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4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character" w:customStyle="1" w:styleId="TextoCar">
    <w:name w:val="Texto Car"/>
    <w:link w:val="Texto"/>
    <w:locked/>
    <w:rsid w:val="00393D24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393D24"/>
    <w:pPr>
      <w:autoSpaceDE/>
      <w:autoSpaceDN/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  <w:lang w:val="es-ES"/>
    </w:rPr>
  </w:style>
  <w:style w:type="paragraph" w:styleId="Sinespaciado">
    <w:name w:val="No Spacing"/>
    <w:uiPriority w:val="1"/>
    <w:qFormat/>
    <w:rsid w:val="00393D24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93D24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5D90"/>
    <w:pPr>
      <w:ind w:left="720"/>
      <w:contextualSpacing/>
    </w:pPr>
  </w:style>
  <w:style w:type="table" w:customStyle="1" w:styleId="Tabladecuadrcula4-nfasis61">
    <w:name w:val="Tabla de cuadrícula 4 - Énfasis 61"/>
    <w:basedOn w:val="Tablanormal"/>
    <w:uiPriority w:val="49"/>
    <w:rsid w:val="00B11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B11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B56B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530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character" w:customStyle="1" w:styleId="TextoCar">
    <w:name w:val="Texto Car"/>
    <w:link w:val="Texto"/>
    <w:locked/>
    <w:rsid w:val="00393D24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393D24"/>
    <w:pPr>
      <w:autoSpaceDE/>
      <w:autoSpaceDN/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  <w:lang w:val="es-ES"/>
    </w:rPr>
  </w:style>
  <w:style w:type="paragraph" w:styleId="Sinespaciado">
    <w:name w:val="No Spacing"/>
    <w:uiPriority w:val="1"/>
    <w:qFormat/>
    <w:rsid w:val="00393D24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93D24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5D90"/>
    <w:pPr>
      <w:ind w:left="720"/>
      <w:contextualSpacing/>
    </w:pPr>
  </w:style>
  <w:style w:type="table" w:customStyle="1" w:styleId="Tabladecuadrcula4-nfasis61">
    <w:name w:val="Tabla de cuadrícula 4 - Énfasis 61"/>
    <w:basedOn w:val="Tablanormal"/>
    <w:uiPriority w:val="49"/>
    <w:rsid w:val="00B11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B11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B56B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530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07.-EJERCICIO%202020\COCODI\1ra%20SESION\Energia%20electrica-salas%20de%20v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Candara" panose="020E0502030303020204" pitchFamily="34" charset="0"/>
                <a:ea typeface="+mj-ea"/>
                <a:cs typeface="+mj-cs"/>
              </a:defRPr>
            </a:pPr>
            <a:r>
              <a:rPr lang="en-US">
                <a:latin typeface="Candara" panose="020E0502030303020204" pitchFamily="34" charset="0"/>
              </a:rPr>
              <a:t>VIDEONCONFERENCIAS DE </a:t>
            </a:r>
          </a:p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Candara" panose="020E0502030303020204" pitchFamily="34" charset="0"/>
                <a:ea typeface="+mj-ea"/>
                <a:cs typeface="+mj-cs"/>
              </a:defRPr>
            </a:pPr>
            <a:r>
              <a:rPr lang="en-US">
                <a:latin typeface="Candara" panose="020E0502030303020204" pitchFamily="34" charset="0"/>
              </a:rPr>
              <a:t>ENERO A DICIEMBRE 2019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Videoconferencias!$C$9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Videoconferencias!$B$10:$B$13</c:f>
              <c:strCache>
                <c:ptCount val="4"/>
                <c:pt idx="0">
                  <c:v>TOTAL DE VC</c:v>
                </c:pt>
                <c:pt idx="1">
                  <c:v>ASISTENCIA DE VC</c:v>
                </c:pt>
                <c:pt idx="2">
                  <c:v>TOTAL DE SALAS</c:v>
                </c:pt>
                <c:pt idx="3">
                  <c:v>TOTAL DE HORAS</c:v>
                </c:pt>
              </c:strCache>
            </c:strRef>
          </c:cat>
          <c:val>
            <c:numRef>
              <c:f>Videoconferencias!$C$10:$C$13</c:f>
              <c:numCache>
                <c:formatCode>General</c:formatCode>
                <c:ptCount val="4"/>
                <c:pt idx="0">
                  <c:v>2626</c:v>
                </c:pt>
                <c:pt idx="1">
                  <c:v>33300</c:v>
                </c:pt>
                <c:pt idx="2">
                  <c:v>3829</c:v>
                </c:pt>
                <c:pt idx="3">
                  <c:v>11781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82-480A-B8B8-47D173BC5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84271872"/>
        <c:axId val="84273408"/>
      </c:barChart>
      <c:catAx>
        <c:axId val="84271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273408"/>
        <c:crosses val="autoZero"/>
        <c:auto val="1"/>
        <c:lblAlgn val="ctr"/>
        <c:lblOffset val="100"/>
        <c:noMultiLvlLbl val="0"/>
      </c:catAx>
      <c:valAx>
        <c:axId val="8427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2718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AEAF-344B-4175-B6E7-45B6B393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patrik</cp:lastModifiedBy>
  <cp:revision>3</cp:revision>
  <cp:lastPrinted>2018-04-12T16:19:00Z</cp:lastPrinted>
  <dcterms:created xsi:type="dcterms:W3CDTF">2020-02-07T20:46:00Z</dcterms:created>
  <dcterms:modified xsi:type="dcterms:W3CDTF">2020-02-13T06:56:00Z</dcterms:modified>
</cp:coreProperties>
</file>