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0E97" w14:textId="3B469BBF" w:rsidR="006B4C69" w:rsidRPr="008F189D" w:rsidRDefault="00101C8C" w:rsidP="0022777D">
      <w:pPr>
        <w:tabs>
          <w:tab w:val="left" w:pos="567"/>
        </w:tabs>
        <w:spacing w:after="0" w:line="240" w:lineRule="auto"/>
        <w:rPr>
          <w:rFonts w:ascii="Montserrat" w:hAnsi="Montserrat" w:cstheme="minorHAnsi"/>
          <w:b/>
          <w:bCs/>
          <w:sz w:val="28"/>
          <w:szCs w:val="28"/>
        </w:rPr>
      </w:pPr>
      <w:r w:rsidRPr="008F189D">
        <w:rPr>
          <w:rFonts w:ascii="Montserrat" w:hAnsi="Montserrat" w:cstheme="minorHAnsi"/>
          <w:b/>
          <w:bCs/>
          <w:sz w:val="28"/>
          <w:szCs w:val="28"/>
        </w:rPr>
        <w:t>VII. Desempeño institucional</w:t>
      </w:r>
    </w:p>
    <w:p w14:paraId="085129C5" w14:textId="2CBC1A99" w:rsidR="0033419E" w:rsidRPr="008F189D" w:rsidRDefault="0033419E" w:rsidP="0022777D">
      <w:pPr>
        <w:tabs>
          <w:tab w:val="left" w:pos="567"/>
        </w:tabs>
        <w:spacing w:after="0" w:line="240" w:lineRule="auto"/>
        <w:rPr>
          <w:rFonts w:ascii="Montserrat" w:hAnsi="Montserrat" w:cstheme="minorHAnsi"/>
          <w:b/>
          <w:bCs/>
        </w:rPr>
      </w:pPr>
    </w:p>
    <w:p w14:paraId="57163501" w14:textId="6B0224AF" w:rsidR="00101C8C" w:rsidRPr="008F189D" w:rsidRDefault="008F189D" w:rsidP="008F189D">
      <w:pPr>
        <w:tabs>
          <w:tab w:val="left" w:pos="567"/>
        </w:tabs>
        <w:spacing w:after="0" w:line="240" w:lineRule="auto"/>
        <w:ind w:left="567"/>
        <w:rPr>
          <w:rFonts w:ascii="Montserrat" w:hAnsi="Montserrat" w:cstheme="minorHAnsi"/>
          <w:b/>
          <w:bCs/>
          <w:sz w:val="24"/>
          <w:szCs w:val="24"/>
        </w:rPr>
      </w:pPr>
      <w:r>
        <w:rPr>
          <w:rFonts w:ascii="Montserrat" w:hAnsi="Montserrat" w:cstheme="minorHAnsi"/>
          <w:b/>
          <w:bCs/>
          <w:sz w:val="24"/>
          <w:szCs w:val="24"/>
        </w:rPr>
        <w:t>3.</w:t>
      </w:r>
      <w:r w:rsidR="00101C8C" w:rsidRPr="008F189D">
        <w:rPr>
          <w:rFonts w:ascii="Montserrat" w:hAnsi="Montserrat" w:cstheme="minorHAnsi"/>
          <w:b/>
          <w:bCs/>
          <w:sz w:val="24"/>
          <w:szCs w:val="24"/>
        </w:rPr>
        <w:t xml:space="preserve"> Pasivos contingentes</w:t>
      </w:r>
    </w:p>
    <w:p w14:paraId="39DD9578" w14:textId="77777777" w:rsidR="0033419E" w:rsidRPr="008F189D" w:rsidRDefault="0033419E" w:rsidP="0033419E">
      <w:pPr>
        <w:tabs>
          <w:tab w:val="left" w:pos="567"/>
        </w:tabs>
        <w:spacing w:after="0" w:line="240" w:lineRule="auto"/>
        <w:rPr>
          <w:rFonts w:ascii="Montserrat" w:hAnsi="Montserrat" w:cstheme="minorHAnsi"/>
        </w:rPr>
      </w:pPr>
    </w:p>
    <w:tbl>
      <w:tblPr>
        <w:tblStyle w:val="Tablanormal11"/>
        <w:tblW w:w="0" w:type="auto"/>
        <w:tblLook w:val="04A0" w:firstRow="1" w:lastRow="0" w:firstColumn="1" w:lastColumn="0" w:noHBand="0" w:noVBand="1"/>
      </w:tblPr>
      <w:tblGrid>
        <w:gridCol w:w="5665"/>
        <w:gridCol w:w="1560"/>
        <w:gridCol w:w="6245"/>
      </w:tblGrid>
      <w:tr w:rsidR="0033419E" w:rsidRPr="008F189D" w14:paraId="62BB9179" w14:textId="77777777" w:rsidTr="008F189D">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665" w:type="dxa"/>
          </w:tcPr>
          <w:p w14:paraId="3B98FE99" w14:textId="77777777" w:rsidR="0033419E" w:rsidRPr="008F189D" w:rsidRDefault="0033419E" w:rsidP="0086194A">
            <w:pPr>
              <w:pStyle w:val="Prrafodelista"/>
              <w:numPr>
                <w:ilvl w:val="0"/>
                <w:numId w:val="1"/>
              </w:numPr>
              <w:rPr>
                <w:rFonts w:ascii="Montserrat" w:hAnsi="Montserrat" w:cstheme="minorHAnsi"/>
              </w:rPr>
            </w:pPr>
            <w:r w:rsidRPr="008F189D">
              <w:rPr>
                <w:rFonts w:ascii="Montserrat" w:hAnsi="Montserrat" w:cstheme="minorHAnsi"/>
              </w:rPr>
              <w:t>PASIVO LABORAL</w:t>
            </w:r>
          </w:p>
        </w:tc>
        <w:tc>
          <w:tcPr>
            <w:tcW w:w="1560" w:type="dxa"/>
          </w:tcPr>
          <w:p w14:paraId="776C089F" w14:textId="77777777" w:rsidR="0033419E" w:rsidRPr="008F189D"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NÚMERO</w:t>
            </w:r>
          </w:p>
        </w:tc>
        <w:tc>
          <w:tcPr>
            <w:tcW w:w="6245" w:type="dxa"/>
          </w:tcPr>
          <w:p w14:paraId="0693C230" w14:textId="77777777" w:rsidR="0033419E" w:rsidRPr="008F189D"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MONTO</w:t>
            </w:r>
          </w:p>
          <w:p w14:paraId="6D8D59D1" w14:textId="77777777" w:rsidR="0033419E" w:rsidRPr="008F189D"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8F189D" w14:paraId="09CBA675" w14:textId="77777777" w:rsidTr="008F189D">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665" w:type="dxa"/>
          </w:tcPr>
          <w:p w14:paraId="50C8B42F" w14:textId="77777777" w:rsidR="0033419E" w:rsidRPr="008F189D" w:rsidRDefault="0033419E" w:rsidP="0086194A">
            <w:pPr>
              <w:ind w:left="360"/>
              <w:rPr>
                <w:rFonts w:ascii="Montserrat" w:hAnsi="Montserrat" w:cstheme="minorHAnsi"/>
              </w:rPr>
            </w:pPr>
          </w:p>
          <w:p w14:paraId="3EB55820" w14:textId="77777777" w:rsidR="0033419E" w:rsidRPr="008F189D" w:rsidRDefault="0033419E" w:rsidP="0086194A">
            <w:pPr>
              <w:ind w:left="360"/>
              <w:rPr>
                <w:rFonts w:ascii="Montserrat" w:hAnsi="Montserrat" w:cstheme="minorHAnsi"/>
              </w:rPr>
            </w:pPr>
            <w:r w:rsidRPr="008F189D">
              <w:rPr>
                <w:rFonts w:ascii="Montserrat" w:hAnsi="Montserrat" w:cstheme="minorHAnsi"/>
              </w:rPr>
              <w:t>I.I Juicios Laborales</w:t>
            </w:r>
          </w:p>
          <w:p w14:paraId="4E02906D" w14:textId="77777777" w:rsidR="0033419E" w:rsidRPr="008F189D" w:rsidRDefault="0033419E" w:rsidP="0086194A">
            <w:pPr>
              <w:pStyle w:val="Prrafodelista"/>
              <w:ind w:left="454"/>
              <w:rPr>
                <w:rFonts w:ascii="Montserrat" w:hAnsi="Montserrat" w:cstheme="minorHAnsi"/>
                <w:b w:val="0"/>
              </w:rPr>
            </w:pPr>
          </w:p>
        </w:tc>
        <w:tc>
          <w:tcPr>
            <w:tcW w:w="1560" w:type="dxa"/>
          </w:tcPr>
          <w:p w14:paraId="536B8667" w14:textId="77777777"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rPr>
              <w:t xml:space="preserve"> </w:t>
            </w:r>
          </w:p>
          <w:p w14:paraId="5F101155" w14:textId="77777777"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rPr>
              <w:t>6</w:t>
            </w:r>
          </w:p>
        </w:tc>
        <w:tc>
          <w:tcPr>
            <w:tcW w:w="6245" w:type="dxa"/>
          </w:tcPr>
          <w:p w14:paraId="0675C3A6" w14:textId="77777777"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8F189D">
              <w:rPr>
                <w:rFonts w:ascii="Montserrat" w:hAnsi="Montserrat" w:cstheme="minorHAnsi"/>
                <w:color w:val="000000"/>
              </w:rPr>
              <w:t>$8,753,285.59</w:t>
            </w:r>
          </w:p>
          <w:p w14:paraId="6EDF5BA4" w14:textId="77777777" w:rsidR="0033419E" w:rsidRPr="008F189D"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color w:val="000000"/>
              </w:rPr>
              <w:t xml:space="preserve">Este puede ser susceptible de afectación en atención a las atenuantes que señalen las autoridades laborales. </w:t>
            </w:r>
          </w:p>
        </w:tc>
      </w:tr>
      <w:tr w:rsidR="0033419E" w:rsidRPr="008F189D" w14:paraId="41EF5694" w14:textId="77777777" w:rsidTr="008F189D">
        <w:trPr>
          <w:trHeight w:val="232"/>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4BD7DFD" w14:textId="77777777" w:rsidR="0033419E" w:rsidRPr="008F189D" w:rsidRDefault="0033419E" w:rsidP="0086194A">
            <w:pPr>
              <w:pStyle w:val="Prrafodelista"/>
              <w:numPr>
                <w:ilvl w:val="0"/>
                <w:numId w:val="2"/>
              </w:numPr>
              <w:ind w:left="454"/>
              <w:rPr>
                <w:rFonts w:ascii="Montserrat" w:hAnsi="Montserrat" w:cstheme="minorHAnsi"/>
                <w:b w:val="0"/>
              </w:rPr>
            </w:pPr>
            <w:r w:rsidRPr="008F189D">
              <w:rPr>
                <w:rFonts w:ascii="Montserrat" w:hAnsi="Montserrat" w:cstheme="minorHAnsi"/>
                <w:b w:val="0"/>
              </w:rPr>
              <w:t>Pendientes de cumplimentar</w:t>
            </w:r>
          </w:p>
        </w:tc>
        <w:tc>
          <w:tcPr>
            <w:tcW w:w="1560" w:type="dxa"/>
            <w:vAlign w:val="center"/>
          </w:tcPr>
          <w:p w14:paraId="5497488C" w14:textId="77777777" w:rsidR="0033419E" w:rsidRPr="008F189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1</w:t>
            </w:r>
          </w:p>
        </w:tc>
        <w:tc>
          <w:tcPr>
            <w:tcW w:w="6245" w:type="dxa"/>
            <w:vAlign w:val="center"/>
          </w:tcPr>
          <w:p w14:paraId="4AC70371" w14:textId="77777777" w:rsidR="0033419E" w:rsidRPr="008F189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$988,498.63</w:t>
            </w:r>
          </w:p>
          <w:p w14:paraId="4FDBE50F" w14:textId="77777777" w:rsidR="0033419E" w:rsidRPr="008F189D"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 xml:space="preserve">Más los incrementos hasta que se determine la fecha de la reinstalación, asimismo debe considerarse que los salarios caídos son un importe bruto que no contempla las deducciones correspondientes.   </w:t>
            </w:r>
          </w:p>
        </w:tc>
      </w:tr>
      <w:tr w:rsidR="0033419E" w:rsidRPr="008F189D" w14:paraId="58DDB3A0" w14:textId="77777777" w:rsidTr="008F189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15D93559" w14:textId="77777777" w:rsidR="0033419E" w:rsidRPr="008F189D" w:rsidRDefault="0033419E" w:rsidP="0086194A">
            <w:pPr>
              <w:pStyle w:val="Prrafodelista"/>
              <w:numPr>
                <w:ilvl w:val="0"/>
                <w:numId w:val="2"/>
              </w:numPr>
              <w:ind w:left="454"/>
              <w:rPr>
                <w:rFonts w:ascii="Montserrat" w:hAnsi="Montserrat" w:cstheme="minorHAnsi"/>
                <w:b w:val="0"/>
              </w:rPr>
            </w:pPr>
            <w:r w:rsidRPr="008F189D">
              <w:rPr>
                <w:rFonts w:ascii="Montserrat" w:hAnsi="Montserrat" w:cstheme="minorHAnsi"/>
                <w:b w:val="0"/>
              </w:rPr>
              <w:t>Incidente de liquidación</w:t>
            </w:r>
          </w:p>
        </w:tc>
        <w:tc>
          <w:tcPr>
            <w:tcW w:w="1560" w:type="dxa"/>
            <w:vAlign w:val="center"/>
          </w:tcPr>
          <w:p w14:paraId="48E0590B" w14:textId="77777777"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rPr>
              <w:t>-</w:t>
            </w:r>
          </w:p>
        </w:tc>
        <w:tc>
          <w:tcPr>
            <w:tcW w:w="6245" w:type="dxa"/>
            <w:vAlign w:val="center"/>
          </w:tcPr>
          <w:p w14:paraId="61C4E04C" w14:textId="77777777" w:rsidR="0033419E" w:rsidRPr="008F189D" w:rsidRDefault="0033419E" w:rsidP="0086194A">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tc>
      </w:tr>
      <w:tr w:rsidR="0033419E" w:rsidRPr="008F189D" w14:paraId="317423CF" w14:textId="77777777" w:rsidTr="008F189D">
        <w:trPr>
          <w:trHeight w:val="68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C40F02B" w14:textId="77777777" w:rsidR="0033419E" w:rsidRPr="008F189D" w:rsidRDefault="0033419E" w:rsidP="0086194A">
            <w:pPr>
              <w:ind w:left="454" w:hanging="425"/>
              <w:rPr>
                <w:rFonts w:ascii="Montserrat" w:hAnsi="Montserrat" w:cstheme="minorHAnsi"/>
                <w:b w:val="0"/>
              </w:rPr>
            </w:pPr>
            <w:r w:rsidRPr="008F189D">
              <w:rPr>
                <w:rFonts w:ascii="Montserrat" w:hAnsi="Montserrat" w:cstheme="minorHAnsi"/>
                <w:b w:val="0"/>
              </w:rPr>
              <w:t xml:space="preserve"> c)   Pagos depositados en cumplimiento a laudos, en espera de que se acuerde por la autoridad competente que han quedado concluidos y orden de su archivo</w:t>
            </w:r>
          </w:p>
        </w:tc>
        <w:tc>
          <w:tcPr>
            <w:tcW w:w="1560" w:type="dxa"/>
            <w:vAlign w:val="center"/>
          </w:tcPr>
          <w:p w14:paraId="724A82CD" w14:textId="77777777" w:rsidR="0033419E" w:rsidRPr="008F189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w:t>
            </w:r>
          </w:p>
        </w:tc>
        <w:tc>
          <w:tcPr>
            <w:tcW w:w="6245" w:type="dxa"/>
            <w:vAlign w:val="center"/>
          </w:tcPr>
          <w:p w14:paraId="2F88E2DE" w14:textId="77777777" w:rsidR="0033419E" w:rsidRPr="008F189D"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8F189D" w14:paraId="30A6D1B2" w14:textId="77777777" w:rsidTr="008F189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F8E88C6" w14:textId="77777777" w:rsidR="0033419E" w:rsidRPr="008F189D" w:rsidRDefault="0033419E" w:rsidP="0033419E">
            <w:pPr>
              <w:pStyle w:val="Prrafodelista"/>
              <w:numPr>
                <w:ilvl w:val="0"/>
                <w:numId w:val="5"/>
              </w:numPr>
              <w:ind w:left="447"/>
              <w:rPr>
                <w:rFonts w:ascii="Montserrat" w:hAnsi="Montserrat" w:cstheme="minorHAnsi"/>
              </w:rPr>
            </w:pPr>
            <w:r w:rsidRPr="008F189D">
              <w:rPr>
                <w:rFonts w:ascii="Montserrat" w:hAnsi="Montserrat" w:cstheme="minorHAnsi"/>
                <w:b w:val="0"/>
              </w:rPr>
              <w:t>En Proceso</w:t>
            </w:r>
          </w:p>
        </w:tc>
        <w:tc>
          <w:tcPr>
            <w:tcW w:w="1560" w:type="dxa"/>
            <w:vAlign w:val="center"/>
          </w:tcPr>
          <w:p w14:paraId="2A220632" w14:textId="77777777"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rPr>
              <w:t>5</w:t>
            </w:r>
          </w:p>
        </w:tc>
        <w:tc>
          <w:tcPr>
            <w:tcW w:w="6245" w:type="dxa"/>
            <w:vAlign w:val="center"/>
          </w:tcPr>
          <w:p w14:paraId="76548613" w14:textId="77777777"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23A885E8" w14:textId="71DD3C1D" w:rsidR="0033419E" w:rsidRPr="008F189D"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rPr>
              <w:t>$</w:t>
            </w:r>
            <w:r w:rsidR="002876E7" w:rsidRPr="008F189D">
              <w:rPr>
                <w:rFonts w:ascii="Montserrat" w:hAnsi="Montserrat" w:cstheme="minorHAnsi"/>
              </w:rPr>
              <w:t>7</w:t>
            </w:r>
            <w:r w:rsidRPr="008F189D">
              <w:rPr>
                <w:rFonts w:ascii="Montserrat" w:hAnsi="Montserrat" w:cstheme="minorHAnsi"/>
              </w:rPr>
              <w:t>,</w:t>
            </w:r>
            <w:r w:rsidR="002876E7" w:rsidRPr="008F189D">
              <w:rPr>
                <w:rFonts w:ascii="Montserrat" w:hAnsi="Montserrat" w:cstheme="minorHAnsi"/>
              </w:rPr>
              <w:t>764,786.96</w:t>
            </w:r>
          </w:p>
          <w:p w14:paraId="1325EAA1" w14:textId="77777777" w:rsidR="0033419E" w:rsidRPr="008F189D"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8F189D">
              <w:rPr>
                <w:rFonts w:ascii="Montserrat" w:hAnsi="Montserrat" w:cstheme="minorHAnsi"/>
                <w:color w:val="000000"/>
              </w:rPr>
              <w:t>Este puede ser susceptible de afectación en atención a las atenuantes que señalen las autoridades laborales.</w:t>
            </w:r>
          </w:p>
        </w:tc>
      </w:tr>
      <w:tr w:rsidR="0033419E" w:rsidRPr="008F189D" w14:paraId="2C8BEF2F" w14:textId="77777777" w:rsidTr="008F189D">
        <w:trPr>
          <w:trHeight w:val="544"/>
        </w:trPr>
        <w:tc>
          <w:tcPr>
            <w:cnfStyle w:val="001000000000" w:firstRow="0" w:lastRow="0" w:firstColumn="1" w:lastColumn="0" w:oddVBand="0" w:evenVBand="0" w:oddHBand="0" w:evenHBand="0" w:firstRowFirstColumn="0" w:firstRowLastColumn="0" w:lastRowFirstColumn="0" w:lastRowLastColumn="0"/>
            <w:tcW w:w="5665" w:type="dxa"/>
          </w:tcPr>
          <w:p w14:paraId="0AC75DC7" w14:textId="77777777" w:rsidR="0033419E" w:rsidRPr="008F189D" w:rsidRDefault="0033419E" w:rsidP="0086194A">
            <w:pPr>
              <w:pStyle w:val="Prrafodelista"/>
              <w:numPr>
                <w:ilvl w:val="0"/>
                <w:numId w:val="1"/>
              </w:numPr>
              <w:rPr>
                <w:rFonts w:ascii="Montserrat" w:hAnsi="Montserrat" w:cstheme="minorHAnsi"/>
              </w:rPr>
            </w:pPr>
            <w:r w:rsidRPr="008F189D">
              <w:rPr>
                <w:rFonts w:ascii="Montserrat" w:hAnsi="Montserrat" w:cstheme="minorHAnsi"/>
              </w:rPr>
              <w:t>Procesos (civiles, mercantiles y administrativos)</w:t>
            </w:r>
          </w:p>
        </w:tc>
        <w:tc>
          <w:tcPr>
            <w:tcW w:w="1560" w:type="dxa"/>
            <w:vAlign w:val="center"/>
          </w:tcPr>
          <w:p w14:paraId="1D65530B" w14:textId="77777777" w:rsidR="0033419E" w:rsidRPr="008F189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532F85DE" w14:textId="77777777" w:rsidR="0033419E" w:rsidRPr="008F189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1</w:t>
            </w:r>
          </w:p>
          <w:p w14:paraId="612F6A51" w14:textId="77777777" w:rsidR="0033419E" w:rsidRPr="008F189D"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c>
          <w:tcPr>
            <w:tcW w:w="6245" w:type="dxa"/>
            <w:vAlign w:val="center"/>
          </w:tcPr>
          <w:p w14:paraId="730E8901" w14:textId="77777777" w:rsidR="0033419E" w:rsidRPr="008F189D"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$ 662,592.00</w:t>
            </w:r>
          </w:p>
          <w:p w14:paraId="0FAAD491" w14:textId="77777777" w:rsidR="0033419E" w:rsidRPr="008F189D"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rPr>
              <w:t xml:space="preserve">Juicio Contencioso Administrativo contra le empresa Grupo ATS Seguridad Empresarial S.A. de C.V., por incumplimiento de contrato, en caso de resultar desfavorable, faltaría considerar los intereses correspondientes. </w:t>
            </w:r>
          </w:p>
          <w:p w14:paraId="2AAF924A" w14:textId="77777777" w:rsidR="0033419E" w:rsidRPr="008F189D"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8F189D">
              <w:rPr>
                <w:rFonts w:ascii="Montserrat" w:hAnsi="Montserrat" w:cstheme="minorHAnsi"/>
                <w:b/>
                <w:bCs/>
              </w:rPr>
              <w:t>Etapa:</w:t>
            </w:r>
            <w:r w:rsidRPr="008F189D">
              <w:rPr>
                <w:rFonts w:ascii="Montserrat" w:hAnsi="Montserrat" w:cstheme="minorHAnsi"/>
              </w:rPr>
              <w:t xml:space="preserve"> Contestación de demanda. </w:t>
            </w:r>
          </w:p>
        </w:tc>
      </w:tr>
    </w:tbl>
    <w:p w14:paraId="0F63B0CC" w14:textId="77777777" w:rsidR="0033419E" w:rsidRPr="008F189D" w:rsidRDefault="0033419E" w:rsidP="0033419E">
      <w:pPr>
        <w:spacing w:after="0" w:line="240" w:lineRule="auto"/>
        <w:jc w:val="both"/>
        <w:rPr>
          <w:rFonts w:ascii="Montserrat" w:hAnsi="Montserrat" w:cstheme="minorHAnsi"/>
        </w:rPr>
      </w:pPr>
      <w:r w:rsidRPr="008F189D">
        <w:rPr>
          <w:rFonts w:ascii="Montserrat" w:hAnsi="Montserrat" w:cstheme="minorHAnsi"/>
        </w:rPr>
        <w:t>Asesor Externo responsable del seguimiento y defensa de estos juicios: Mtro. en Der. Sergio Rubén Gonzalez Flores</w:t>
      </w:r>
    </w:p>
    <w:p w14:paraId="467FE38D" w14:textId="77777777" w:rsidR="008F189D" w:rsidRDefault="008F189D" w:rsidP="0033419E">
      <w:pPr>
        <w:spacing w:after="0" w:line="240" w:lineRule="auto"/>
        <w:jc w:val="both"/>
        <w:rPr>
          <w:rFonts w:ascii="Montserrat" w:hAnsi="Montserrat" w:cstheme="minorHAnsi"/>
          <w:b/>
          <w:bCs/>
        </w:rPr>
        <w:sectPr w:rsidR="008F189D" w:rsidSect="000D1030">
          <w:headerReference w:type="default" r:id="rId7"/>
          <w:footerReference w:type="default" r:id="rId8"/>
          <w:pgSz w:w="15840" w:h="12240" w:orient="landscape"/>
          <w:pgMar w:top="1701" w:right="880" w:bottom="1701" w:left="1417" w:header="850" w:footer="708" w:gutter="0"/>
          <w:cols w:space="708"/>
          <w:docGrid w:linePitch="360"/>
        </w:sectPr>
      </w:pPr>
    </w:p>
    <w:p w14:paraId="675C69FC" w14:textId="76DBA1B9" w:rsidR="0033419E" w:rsidRPr="008F189D" w:rsidRDefault="0033419E" w:rsidP="008F189D">
      <w:pPr>
        <w:spacing w:after="0" w:line="276" w:lineRule="auto"/>
        <w:jc w:val="both"/>
        <w:rPr>
          <w:rFonts w:ascii="Montserrat" w:hAnsi="Montserrat" w:cstheme="minorHAnsi"/>
        </w:rPr>
      </w:pPr>
      <w:r w:rsidRPr="008F189D">
        <w:rPr>
          <w:rFonts w:ascii="Montserrat" w:hAnsi="Montserrat" w:cstheme="minorHAnsi"/>
          <w:b/>
          <w:bCs/>
        </w:rPr>
        <w:lastRenderedPageBreak/>
        <w:t xml:space="preserve">Consideraciones: </w:t>
      </w:r>
      <w:r w:rsidRPr="008F189D">
        <w:rPr>
          <w:rFonts w:ascii="Montserrat" w:hAnsi="Montserrat" w:cstheme="minorHAnsi"/>
        </w:rPr>
        <w:t>Los pasivos no se reflejan en los estados financieros</w:t>
      </w:r>
      <w:r w:rsidR="008F189D">
        <w:rPr>
          <w:rFonts w:ascii="Montserrat" w:hAnsi="Montserrat" w:cstheme="minorHAnsi"/>
        </w:rPr>
        <w:t>.</w:t>
      </w:r>
      <w:r w:rsidRPr="008F189D">
        <w:rPr>
          <w:rFonts w:ascii="Montserrat" w:hAnsi="Montserrat" w:cstheme="minorHAnsi"/>
        </w:rPr>
        <w:t xml:space="preserve"> </w:t>
      </w:r>
      <w:r w:rsidR="008F189D">
        <w:rPr>
          <w:rFonts w:ascii="Montserrat" w:hAnsi="Montserrat" w:cstheme="minorHAnsi"/>
        </w:rPr>
        <w:t>S</w:t>
      </w:r>
      <w:r w:rsidRPr="008F189D">
        <w:rPr>
          <w:rFonts w:ascii="Montserrat" w:hAnsi="Montserrat" w:cstheme="minorHAnsi"/>
        </w:rPr>
        <w:t xml:space="preserve">in embargo, en las notas del informe de auditoría de los estados financieros dictaminados se encuentra información </w:t>
      </w:r>
      <w:r w:rsidR="008F189D">
        <w:rPr>
          <w:rFonts w:ascii="Montserrat" w:hAnsi="Montserrat" w:cstheme="minorHAnsi"/>
        </w:rPr>
        <w:t>sobre</w:t>
      </w:r>
      <w:r w:rsidRPr="008F189D">
        <w:rPr>
          <w:rFonts w:ascii="Montserrat" w:hAnsi="Montserrat" w:cstheme="minorHAnsi"/>
        </w:rPr>
        <w:t xml:space="preserve"> los pasivos contingentes. Cabe señalar que el monto total reportado en el año 2019 de $10,828,314.00 disminuyó a $8,753,285.59 en el año 2020, debido a que se realizó una actualización y revisión de las demandas interpuestas y los laudos recaídos a algunas de ellas, con motivo de seis asuntos laborales </w:t>
      </w:r>
      <w:proofErr w:type="spellStart"/>
      <w:r w:rsidRPr="008F189D">
        <w:rPr>
          <w:rFonts w:ascii="Montserrat" w:hAnsi="Montserrat" w:cstheme="minorHAnsi"/>
        </w:rPr>
        <w:t>activos</w:t>
      </w:r>
      <w:proofErr w:type="gramStart"/>
      <w:r w:rsidR="008F189D">
        <w:rPr>
          <w:rFonts w:ascii="Montserrat" w:hAnsi="Montserrat" w:cstheme="minorHAnsi"/>
        </w:rPr>
        <w:t>.</w:t>
      </w:r>
      <w:r w:rsidRPr="008F189D">
        <w:rPr>
          <w:rFonts w:ascii="Montserrat" w:hAnsi="Montserrat" w:cstheme="minorHAnsi"/>
        </w:rPr>
        <w:t>,</w:t>
      </w:r>
      <w:r w:rsidR="008F189D">
        <w:rPr>
          <w:rFonts w:ascii="Montserrat" w:hAnsi="Montserrat" w:cstheme="minorHAnsi"/>
        </w:rPr>
        <w:t>D</w:t>
      </w:r>
      <w:r w:rsidRPr="008F189D">
        <w:rPr>
          <w:rFonts w:ascii="Montserrat" w:hAnsi="Montserrat" w:cstheme="minorHAnsi"/>
        </w:rPr>
        <w:t>ichos</w:t>
      </w:r>
      <w:proofErr w:type="spellEnd"/>
      <w:proofErr w:type="gramEnd"/>
      <w:r w:rsidRPr="008F189D">
        <w:rPr>
          <w:rFonts w:ascii="Montserrat" w:hAnsi="Montserrat" w:cstheme="minorHAnsi"/>
        </w:rPr>
        <w:t xml:space="preserve"> datos se generaron con mayor certeza, dado el análisis a las prestaciones demandadas en algunos de ellos, así como los laudos emitidos, conforme a lo siguiente:</w:t>
      </w:r>
    </w:p>
    <w:p w14:paraId="572A6E6F" w14:textId="77777777" w:rsidR="002876E7" w:rsidRPr="008F189D" w:rsidRDefault="002876E7" w:rsidP="008F189D">
      <w:pPr>
        <w:spacing w:after="0" w:line="276" w:lineRule="auto"/>
        <w:jc w:val="both"/>
        <w:rPr>
          <w:rFonts w:ascii="Montserrat" w:hAnsi="Montserrat" w:cstheme="minorHAnsi"/>
        </w:rPr>
      </w:pPr>
    </w:p>
    <w:p w14:paraId="3C526E6D" w14:textId="62D82433" w:rsidR="0033419E" w:rsidRPr="008F189D" w:rsidRDefault="0033419E" w:rsidP="008F189D">
      <w:pPr>
        <w:spacing w:after="0" w:line="276" w:lineRule="auto"/>
        <w:jc w:val="both"/>
        <w:rPr>
          <w:rFonts w:ascii="Montserrat" w:hAnsi="Montserrat" w:cstheme="minorHAnsi"/>
        </w:rPr>
      </w:pPr>
      <w:r w:rsidRPr="008F189D">
        <w:rPr>
          <w:rFonts w:ascii="Montserrat" w:hAnsi="Montserrat" w:cstheme="minorHAnsi"/>
        </w:rPr>
        <w:t>1. Verónica Marina Alarcón Estrada (578/2010), laudo de fecha 24 de enero del 2020, mediante el cual se condena reinstalación y pago de sueldos y diversas prestaciones,</w:t>
      </w:r>
      <w:r w:rsidR="002876E7" w:rsidRPr="008F189D">
        <w:rPr>
          <w:rFonts w:ascii="Montserrat" w:hAnsi="Montserrat" w:cstheme="minorHAnsi"/>
        </w:rPr>
        <w:t xml:space="preserve"> </w:t>
      </w:r>
      <w:r w:rsidRPr="008F189D">
        <w:rPr>
          <w:rFonts w:ascii="Montserrat" w:hAnsi="Montserrat" w:cstheme="minorHAnsi"/>
        </w:rPr>
        <w:t>danto un cálculo aproximado de $2,678,374.41 (dos millones seiscientos setenta y ocho mil trescientos setenta y cuatro pesos 41/100M.N.). Cabe destacar que el mismo se encuentra en amparo directo y hasta no ser resu</w:t>
      </w:r>
      <w:r w:rsidR="008F189D">
        <w:rPr>
          <w:rFonts w:ascii="Montserrat" w:hAnsi="Montserrat" w:cstheme="minorHAnsi"/>
        </w:rPr>
        <w:t>e</w:t>
      </w:r>
      <w:r w:rsidRPr="008F189D">
        <w:rPr>
          <w:rFonts w:ascii="Montserrat" w:hAnsi="Montserrat" w:cstheme="minorHAnsi"/>
        </w:rPr>
        <w:t>lto se podrá cuantificar el monto definitivo.</w:t>
      </w:r>
    </w:p>
    <w:p w14:paraId="4163104F" w14:textId="77777777" w:rsidR="0033419E" w:rsidRPr="008F189D" w:rsidRDefault="0033419E" w:rsidP="008F189D">
      <w:pPr>
        <w:spacing w:after="0" w:line="276" w:lineRule="auto"/>
        <w:jc w:val="both"/>
        <w:rPr>
          <w:rFonts w:ascii="Montserrat" w:hAnsi="Montserrat" w:cstheme="minorHAnsi"/>
        </w:rPr>
      </w:pPr>
    </w:p>
    <w:p w14:paraId="0B9C1D9C" w14:textId="3921FDF1" w:rsidR="0033419E" w:rsidRPr="008F189D" w:rsidRDefault="0033419E" w:rsidP="008F189D">
      <w:pPr>
        <w:spacing w:after="0" w:line="276" w:lineRule="auto"/>
        <w:jc w:val="both"/>
        <w:rPr>
          <w:rFonts w:ascii="Montserrat" w:hAnsi="Montserrat" w:cstheme="minorHAnsi"/>
        </w:rPr>
      </w:pPr>
      <w:r w:rsidRPr="008F189D">
        <w:rPr>
          <w:rFonts w:ascii="Montserrat" w:hAnsi="Montserrat" w:cstheme="minorHAnsi"/>
        </w:rPr>
        <w:t>2. Irene Sánchez Moreno (433/2015), resolución de amparo de fecha 24 de febrero del 2020 que recayó al laudo de fecha 25 de abril del 2019, a través del cual se condena</w:t>
      </w:r>
      <w:r w:rsidR="002876E7" w:rsidRPr="008F189D">
        <w:rPr>
          <w:rFonts w:ascii="Montserrat" w:hAnsi="Montserrat" w:cstheme="minorHAnsi"/>
        </w:rPr>
        <w:t xml:space="preserve"> </w:t>
      </w:r>
      <w:r w:rsidRPr="008F189D">
        <w:rPr>
          <w:rFonts w:ascii="Montserrat" w:hAnsi="Montserrat" w:cstheme="minorHAnsi"/>
        </w:rPr>
        <w:t>al pago de $988,498.63 (novecientos ochenta y ocho mil cuatrocientos noventa y ocho pesos 63/100M.N.). Cabe destacar que este importe puede sufrir incrementos hasta</w:t>
      </w:r>
      <w:r w:rsidR="002876E7" w:rsidRPr="008F189D">
        <w:rPr>
          <w:rFonts w:ascii="Montserrat" w:hAnsi="Montserrat" w:cstheme="minorHAnsi"/>
        </w:rPr>
        <w:t xml:space="preserve"> </w:t>
      </w:r>
      <w:r w:rsidRPr="008F189D">
        <w:rPr>
          <w:rFonts w:ascii="Montserrat" w:hAnsi="Montserrat" w:cstheme="minorHAnsi"/>
        </w:rPr>
        <w:t>que sea cumplida la reinstalación; con fecha 5 de marzo del 2020, ECOSUR ingresó promoción, solicitando se realizara la reinstalación con las debidas formalidades, a efecto de detener el incremento del pago.</w:t>
      </w:r>
    </w:p>
    <w:p w14:paraId="7F28B113" w14:textId="77777777" w:rsidR="0033419E" w:rsidRPr="008F189D" w:rsidRDefault="0033419E" w:rsidP="008F189D">
      <w:pPr>
        <w:spacing w:after="0" w:line="276" w:lineRule="auto"/>
        <w:jc w:val="both"/>
        <w:rPr>
          <w:rFonts w:ascii="Montserrat" w:hAnsi="Montserrat" w:cstheme="minorHAnsi"/>
        </w:rPr>
      </w:pPr>
    </w:p>
    <w:p w14:paraId="571E2A13" w14:textId="1B0042F8" w:rsidR="0033419E" w:rsidRPr="008F189D" w:rsidRDefault="0033419E" w:rsidP="008F189D">
      <w:pPr>
        <w:spacing w:after="0" w:line="276" w:lineRule="auto"/>
        <w:jc w:val="both"/>
        <w:rPr>
          <w:rFonts w:ascii="Montserrat" w:hAnsi="Montserrat" w:cstheme="minorHAnsi"/>
        </w:rPr>
      </w:pPr>
      <w:r w:rsidRPr="008F189D">
        <w:rPr>
          <w:rFonts w:ascii="Montserrat" w:hAnsi="Montserrat" w:cstheme="minorHAnsi"/>
        </w:rPr>
        <w:t xml:space="preserve">3. </w:t>
      </w:r>
      <w:proofErr w:type="spellStart"/>
      <w:r w:rsidRPr="008F189D">
        <w:rPr>
          <w:rFonts w:ascii="Montserrat" w:hAnsi="Montserrat" w:cstheme="minorHAnsi"/>
        </w:rPr>
        <w:t>Obeimar</w:t>
      </w:r>
      <w:proofErr w:type="spellEnd"/>
      <w:r w:rsidRPr="008F189D">
        <w:rPr>
          <w:rFonts w:ascii="Montserrat" w:hAnsi="Montserrat" w:cstheme="minorHAnsi"/>
        </w:rPr>
        <w:t xml:space="preserve"> </w:t>
      </w:r>
      <w:proofErr w:type="spellStart"/>
      <w:r w:rsidRPr="008F189D">
        <w:rPr>
          <w:rFonts w:ascii="Montserrat" w:hAnsi="Montserrat" w:cstheme="minorHAnsi"/>
        </w:rPr>
        <w:t>Balente</w:t>
      </w:r>
      <w:proofErr w:type="spellEnd"/>
      <w:r w:rsidRPr="008F189D">
        <w:rPr>
          <w:rFonts w:ascii="Montserrat" w:hAnsi="Montserrat" w:cstheme="minorHAnsi"/>
        </w:rPr>
        <w:t xml:space="preserve"> Herrera Hernández (292/2018), con base al análisis de las documentales, se hace un cálculo aproximado de $219,755.55; Silvestre Raquel Trujillo Santiago (533/2019), con base al análisis de las documentales, se hace un cálculo aproximado de $334,637.00. Cabe destacar que dichos montos no habían sido reflejados en el año 2019, sin embargo, fueron calculados en 2020, para mayore referencia</w:t>
      </w:r>
      <w:r w:rsidR="008F189D">
        <w:rPr>
          <w:rFonts w:ascii="Montserrat" w:hAnsi="Montserrat" w:cstheme="minorHAnsi"/>
        </w:rPr>
        <w:t>. N</w:t>
      </w:r>
      <w:r w:rsidRPr="008F189D">
        <w:rPr>
          <w:rFonts w:ascii="Montserrat" w:hAnsi="Montserrat" w:cstheme="minorHAnsi"/>
        </w:rPr>
        <w:t>o omito comentar que estos pueden ser susceptibles a modificaciones al momento de que sean emitidos los laudos y en su caso los amparos correspondientes.</w:t>
      </w:r>
    </w:p>
    <w:p w14:paraId="3B4104A0" w14:textId="77777777" w:rsidR="0033419E" w:rsidRPr="008F189D" w:rsidRDefault="0033419E" w:rsidP="008F189D">
      <w:pPr>
        <w:spacing w:after="0" w:line="276" w:lineRule="auto"/>
        <w:jc w:val="both"/>
        <w:rPr>
          <w:rFonts w:ascii="Montserrat" w:hAnsi="Montserrat" w:cstheme="minorHAnsi"/>
        </w:rPr>
      </w:pPr>
    </w:p>
    <w:p w14:paraId="485B5347" w14:textId="17D08A46" w:rsidR="0033419E" w:rsidRPr="008F189D" w:rsidRDefault="0033419E" w:rsidP="008F189D">
      <w:pPr>
        <w:spacing w:after="0" w:line="276" w:lineRule="auto"/>
        <w:jc w:val="both"/>
        <w:rPr>
          <w:rFonts w:ascii="Montserrat" w:hAnsi="Montserrat" w:cstheme="minorHAnsi"/>
        </w:rPr>
      </w:pPr>
      <w:r w:rsidRPr="008F189D">
        <w:rPr>
          <w:rFonts w:ascii="Montserrat" w:hAnsi="Montserrat" w:cstheme="minorHAnsi"/>
        </w:rPr>
        <w:t xml:space="preserve">4. Aaron Jarquín Sánchez y otros (808/2017) y Ada Jiménez Roblero y otros (522/2018), siguen manteniendo los cálculos contemplados en 2019, los cuales son de $1,600,000.00 y $2,932,000.00 respectivamente. Se están en proceso de actualización el primero de ellos, con base al porcentaje de aportación de los trabajadores al pago de las pólizas de la aseguradora de los ejercicios fiscales 2016 </w:t>
      </w:r>
      <w:r w:rsidRPr="008F189D">
        <w:rPr>
          <w:rFonts w:ascii="Montserrat" w:hAnsi="Montserrat" w:cstheme="minorHAnsi"/>
        </w:rPr>
        <w:lastRenderedPageBreak/>
        <w:t>a la fecha</w:t>
      </w:r>
      <w:r w:rsidR="008F189D">
        <w:rPr>
          <w:rFonts w:ascii="Montserrat" w:hAnsi="Montserrat" w:cstheme="minorHAnsi"/>
        </w:rPr>
        <w:t>. E</w:t>
      </w:r>
      <w:r w:rsidRPr="008F189D">
        <w:rPr>
          <w:rFonts w:ascii="Montserrat" w:hAnsi="Montserrat" w:cstheme="minorHAnsi"/>
        </w:rPr>
        <w:t>n este sentido se ha solicitado los estatus laborales de los trabajadores demandantes para el cálculo aproximado.</w:t>
      </w:r>
    </w:p>
    <w:p w14:paraId="28443B8B" w14:textId="0B22250E" w:rsidR="0033419E" w:rsidRPr="008F189D" w:rsidRDefault="0033419E" w:rsidP="008F189D">
      <w:pPr>
        <w:spacing w:after="0" w:line="276" w:lineRule="auto"/>
        <w:jc w:val="both"/>
        <w:rPr>
          <w:rFonts w:ascii="Montserrat" w:hAnsi="Montserrat" w:cstheme="minorHAnsi"/>
        </w:rPr>
      </w:pPr>
    </w:p>
    <w:p w14:paraId="67C677CC" w14:textId="75355070" w:rsidR="002876E7" w:rsidRPr="008F189D" w:rsidRDefault="002876E7" w:rsidP="008F189D">
      <w:pPr>
        <w:spacing w:line="276" w:lineRule="auto"/>
        <w:jc w:val="both"/>
        <w:rPr>
          <w:rFonts w:ascii="Montserrat" w:hAnsi="Montserrat" w:cstheme="minorHAnsi"/>
        </w:rPr>
      </w:pPr>
      <w:r w:rsidRPr="008F189D">
        <w:rPr>
          <w:rFonts w:ascii="Montserrat" w:hAnsi="Montserrat" w:cstheme="minorHAnsi"/>
        </w:rPr>
        <w:t xml:space="preserve">No omito comentar que por un error involuntario de cálculo en Excel, se </w:t>
      </w:r>
      <w:r w:rsidR="008F189D" w:rsidRPr="008F189D">
        <w:rPr>
          <w:rFonts w:ascii="Montserrat" w:hAnsi="Montserrat" w:cstheme="minorHAnsi"/>
        </w:rPr>
        <w:t>computó un</w:t>
      </w:r>
      <w:r w:rsidRPr="008F189D">
        <w:rPr>
          <w:rFonts w:ascii="Montserrat" w:hAnsi="Montserrat" w:cstheme="minorHAnsi"/>
        </w:rPr>
        <w:t xml:space="preserve"> monto total de </w:t>
      </w:r>
      <w:r w:rsidRPr="008F189D">
        <w:rPr>
          <w:rFonts w:ascii="Montserrat" w:hAnsi="Montserrat" w:cs="Arial"/>
        </w:rPr>
        <w:t>$</w:t>
      </w:r>
      <w:proofErr w:type="gramStart"/>
      <w:r w:rsidRPr="008F189D">
        <w:rPr>
          <w:rFonts w:ascii="Montserrat" w:hAnsi="Montserrat" w:cs="Arial"/>
        </w:rPr>
        <w:t xml:space="preserve">6,074,911.18 </w:t>
      </w:r>
      <w:r w:rsidRPr="008F189D">
        <w:rPr>
          <w:rFonts w:ascii="Montserrat" w:hAnsi="Montserrat" w:cstheme="minorHAnsi"/>
        </w:rPr>
        <w:t xml:space="preserve"> en</w:t>
      </w:r>
      <w:proofErr w:type="gramEnd"/>
      <w:r w:rsidRPr="008F189D">
        <w:rPr>
          <w:rFonts w:ascii="Montserrat" w:hAnsi="Montserrat" w:cstheme="minorHAnsi"/>
        </w:rPr>
        <w:t xml:space="preserve"> el inciso d) de la tabla que antecede, correspondiente a los juicios laborales en proceso</w:t>
      </w:r>
      <w:r w:rsidR="008F189D">
        <w:rPr>
          <w:rFonts w:ascii="Montserrat" w:hAnsi="Montserrat" w:cstheme="minorHAnsi"/>
        </w:rPr>
        <w:t>.</w:t>
      </w:r>
      <w:r w:rsidRPr="008F189D">
        <w:rPr>
          <w:rFonts w:ascii="Montserrat" w:hAnsi="Montserrat" w:cstheme="minorHAnsi"/>
        </w:rPr>
        <w:t xml:space="preserve"> </w:t>
      </w:r>
      <w:r w:rsidR="008F189D">
        <w:rPr>
          <w:rFonts w:ascii="Montserrat" w:hAnsi="Montserrat" w:cstheme="minorHAnsi"/>
        </w:rPr>
        <w:t>S</w:t>
      </w:r>
      <w:r w:rsidRPr="008F189D">
        <w:rPr>
          <w:rFonts w:ascii="Montserrat" w:hAnsi="Montserrat" w:cstheme="minorHAnsi"/>
        </w:rPr>
        <w:t>in embargo</w:t>
      </w:r>
      <w:r w:rsidR="008F189D">
        <w:rPr>
          <w:rFonts w:ascii="Montserrat" w:hAnsi="Montserrat" w:cstheme="minorHAnsi"/>
        </w:rPr>
        <w:t>,</w:t>
      </w:r>
      <w:r w:rsidRPr="008F189D">
        <w:rPr>
          <w:rFonts w:ascii="Montserrat" w:hAnsi="Montserrat" w:cstheme="minorHAnsi"/>
        </w:rPr>
        <w:t xml:space="preserve"> este es de $7,764,786.96.</w:t>
      </w:r>
    </w:p>
    <w:p w14:paraId="7296ACDF" w14:textId="77777777" w:rsidR="0033419E" w:rsidRPr="008F189D" w:rsidRDefault="0033419E" w:rsidP="0033419E">
      <w:pPr>
        <w:jc w:val="center"/>
        <w:rPr>
          <w:rFonts w:ascii="Montserrat" w:hAnsi="Montserrat" w:cstheme="minorHAnsi"/>
          <w:b/>
          <w:bCs/>
        </w:rPr>
      </w:pPr>
      <w:r w:rsidRPr="008F189D">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4780"/>
        <w:gridCol w:w="4048"/>
      </w:tblGrid>
      <w:tr w:rsidR="0033419E" w:rsidRPr="008F189D" w14:paraId="37EA6F8C" w14:textId="77777777" w:rsidTr="0086194A">
        <w:trPr>
          <w:trHeight w:val="243"/>
        </w:trPr>
        <w:tc>
          <w:tcPr>
            <w:tcW w:w="5650" w:type="dxa"/>
            <w:shd w:val="clear" w:color="auto" w:fill="auto"/>
          </w:tcPr>
          <w:p w14:paraId="1972DE4D" w14:textId="77777777" w:rsidR="0033419E" w:rsidRPr="008F189D" w:rsidRDefault="0033419E" w:rsidP="0033419E">
            <w:pPr>
              <w:pStyle w:val="Prrafodelista"/>
              <w:numPr>
                <w:ilvl w:val="0"/>
                <w:numId w:val="3"/>
              </w:numPr>
              <w:rPr>
                <w:rFonts w:ascii="Montserrat" w:hAnsi="Montserrat" w:cstheme="minorHAnsi"/>
              </w:rPr>
            </w:pPr>
            <w:r w:rsidRPr="008F189D">
              <w:rPr>
                <w:rFonts w:ascii="Montserrat" w:hAnsi="Montserrat" w:cstheme="minorHAnsi"/>
              </w:rPr>
              <w:t>Monto de litigios</w:t>
            </w:r>
          </w:p>
        </w:tc>
        <w:tc>
          <w:tcPr>
            <w:tcW w:w="4901" w:type="dxa"/>
            <w:shd w:val="clear" w:color="auto" w:fill="auto"/>
          </w:tcPr>
          <w:p w14:paraId="66C6EA0A" w14:textId="77777777" w:rsidR="0033419E" w:rsidRPr="008F189D" w:rsidRDefault="0033419E" w:rsidP="0086194A">
            <w:pPr>
              <w:jc w:val="center"/>
              <w:rPr>
                <w:rFonts w:ascii="Montserrat" w:hAnsi="Montserrat" w:cstheme="minorHAnsi"/>
              </w:rPr>
            </w:pPr>
            <w:r w:rsidRPr="008F189D">
              <w:rPr>
                <w:rFonts w:ascii="Montserrat" w:hAnsi="Montserrat" w:cstheme="minorHAnsi"/>
              </w:rPr>
              <w:t>$8,753,285.59</w:t>
            </w:r>
          </w:p>
          <w:p w14:paraId="780D7911" w14:textId="77777777" w:rsidR="0033419E" w:rsidRPr="008F189D" w:rsidRDefault="0033419E" w:rsidP="0086194A">
            <w:pPr>
              <w:jc w:val="center"/>
              <w:rPr>
                <w:rFonts w:ascii="Montserrat" w:hAnsi="Montserrat" w:cstheme="minorHAnsi"/>
              </w:rPr>
            </w:pPr>
          </w:p>
        </w:tc>
      </w:tr>
      <w:tr w:rsidR="0033419E" w:rsidRPr="008F189D" w14:paraId="2F1C6421" w14:textId="77777777" w:rsidTr="0086194A">
        <w:trPr>
          <w:trHeight w:val="255"/>
        </w:trPr>
        <w:tc>
          <w:tcPr>
            <w:tcW w:w="5650" w:type="dxa"/>
          </w:tcPr>
          <w:p w14:paraId="37C616C4" w14:textId="77777777" w:rsidR="0033419E" w:rsidRPr="008F189D" w:rsidRDefault="0033419E" w:rsidP="0033419E">
            <w:pPr>
              <w:pStyle w:val="Prrafodelista"/>
              <w:numPr>
                <w:ilvl w:val="0"/>
                <w:numId w:val="3"/>
              </w:numPr>
              <w:rPr>
                <w:rFonts w:ascii="Montserrat" w:hAnsi="Montserrat" w:cstheme="minorHAnsi"/>
              </w:rPr>
            </w:pPr>
            <w:r w:rsidRPr="008F189D">
              <w:rPr>
                <w:rFonts w:ascii="Montserrat" w:hAnsi="Montserrat" w:cstheme="minorHAnsi"/>
              </w:rPr>
              <w:t>Litigios en trámite</w:t>
            </w:r>
          </w:p>
        </w:tc>
        <w:tc>
          <w:tcPr>
            <w:tcW w:w="4901" w:type="dxa"/>
          </w:tcPr>
          <w:p w14:paraId="45642CED" w14:textId="77777777" w:rsidR="0033419E" w:rsidRPr="008F189D" w:rsidRDefault="0033419E" w:rsidP="0086194A">
            <w:pPr>
              <w:jc w:val="center"/>
              <w:rPr>
                <w:rFonts w:ascii="Montserrat" w:hAnsi="Montserrat" w:cstheme="minorHAnsi"/>
              </w:rPr>
            </w:pPr>
            <w:r w:rsidRPr="008F189D">
              <w:rPr>
                <w:rFonts w:ascii="Montserrat" w:hAnsi="Montserrat" w:cstheme="minorHAnsi"/>
              </w:rPr>
              <w:t>5</w:t>
            </w:r>
          </w:p>
        </w:tc>
      </w:tr>
      <w:tr w:rsidR="0033419E" w:rsidRPr="008F189D" w14:paraId="095918F1" w14:textId="77777777" w:rsidTr="0086194A">
        <w:trPr>
          <w:trHeight w:val="378"/>
        </w:trPr>
        <w:tc>
          <w:tcPr>
            <w:tcW w:w="5650" w:type="dxa"/>
          </w:tcPr>
          <w:p w14:paraId="6F3A0C45" w14:textId="77777777" w:rsidR="0033419E" w:rsidRPr="008F189D" w:rsidRDefault="0033419E" w:rsidP="0033419E">
            <w:pPr>
              <w:pStyle w:val="Prrafodelista"/>
              <w:numPr>
                <w:ilvl w:val="0"/>
                <w:numId w:val="3"/>
              </w:numPr>
              <w:rPr>
                <w:rFonts w:ascii="Montserrat" w:hAnsi="Montserrat" w:cstheme="minorHAnsi"/>
              </w:rPr>
            </w:pPr>
            <w:r w:rsidRPr="008F189D">
              <w:rPr>
                <w:rFonts w:ascii="Montserrat" w:hAnsi="Montserrat" w:cstheme="minorHAnsi"/>
              </w:rPr>
              <w:t>Litigios con laudo firme desfavorable</w:t>
            </w:r>
          </w:p>
        </w:tc>
        <w:tc>
          <w:tcPr>
            <w:tcW w:w="4901" w:type="dxa"/>
          </w:tcPr>
          <w:p w14:paraId="20F59B72" w14:textId="77777777" w:rsidR="0033419E" w:rsidRPr="008F189D" w:rsidRDefault="0033419E" w:rsidP="0086194A">
            <w:pPr>
              <w:jc w:val="center"/>
              <w:rPr>
                <w:rFonts w:ascii="Montserrat" w:hAnsi="Montserrat" w:cstheme="minorHAnsi"/>
              </w:rPr>
            </w:pPr>
            <w:r w:rsidRPr="008F189D">
              <w:rPr>
                <w:rFonts w:ascii="Montserrat" w:hAnsi="Montserrat" w:cstheme="minorHAnsi"/>
              </w:rPr>
              <w:t>1</w:t>
            </w:r>
          </w:p>
        </w:tc>
      </w:tr>
    </w:tbl>
    <w:p w14:paraId="27EA3287" w14:textId="77777777" w:rsidR="008F189D" w:rsidRDefault="008F189D" w:rsidP="0033419E">
      <w:pPr>
        <w:jc w:val="center"/>
        <w:rPr>
          <w:rFonts w:ascii="Montserrat" w:hAnsi="Montserrat" w:cstheme="minorHAnsi"/>
          <w:b/>
          <w:bCs/>
        </w:rPr>
      </w:pPr>
    </w:p>
    <w:p w14:paraId="6686C8DB" w14:textId="77777777" w:rsidR="008F189D" w:rsidRDefault="008F189D" w:rsidP="0033419E">
      <w:pPr>
        <w:jc w:val="center"/>
        <w:rPr>
          <w:rFonts w:ascii="Montserrat" w:hAnsi="Montserrat" w:cstheme="minorHAnsi"/>
          <w:b/>
          <w:bCs/>
        </w:rPr>
      </w:pPr>
    </w:p>
    <w:p w14:paraId="08F22BC7" w14:textId="5EA12149" w:rsidR="0033419E" w:rsidRPr="008F189D" w:rsidRDefault="0033419E" w:rsidP="0033419E">
      <w:pPr>
        <w:jc w:val="center"/>
        <w:rPr>
          <w:rFonts w:ascii="Montserrat" w:hAnsi="Montserrat" w:cstheme="minorHAnsi"/>
          <w:b/>
          <w:bCs/>
        </w:rPr>
      </w:pPr>
      <w:r w:rsidRPr="008F189D">
        <w:rPr>
          <w:rFonts w:ascii="Montserrat" w:hAnsi="Montserrat" w:cstheme="minorHAnsi"/>
          <w:b/>
          <w:bCs/>
        </w:rPr>
        <w:t>ESTRATEGIAS PARA REDUCIR LOS COSTOS EN PASIVOS CONTINGENTES</w:t>
      </w:r>
    </w:p>
    <w:p w14:paraId="4D861FAC" w14:textId="77777777" w:rsidR="0033419E" w:rsidRPr="008F189D" w:rsidRDefault="0033419E" w:rsidP="0033419E">
      <w:pPr>
        <w:pStyle w:val="Prrafodelista"/>
        <w:numPr>
          <w:ilvl w:val="0"/>
          <w:numId w:val="6"/>
        </w:numPr>
        <w:jc w:val="both"/>
        <w:rPr>
          <w:rFonts w:ascii="Montserrat" w:hAnsi="Montserrat" w:cstheme="minorHAnsi"/>
        </w:rPr>
      </w:pPr>
      <w:r w:rsidRPr="008F189D">
        <w:rPr>
          <w:rFonts w:ascii="Montserrat" w:hAnsi="Montserrat" w:cstheme="minorHAnsi"/>
        </w:rPr>
        <w:t>Mantener una buena comunicación con el personal académico y administrativo, así como con el sindicato y los trabajadores administrativos de base.</w:t>
      </w:r>
    </w:p>
    <w:p w14:paraId="2D79F409" w14:textId="77777777" w:rsidR="0033419E" w:rsidRPr="008F189D" w:rsidRDefault="0033419E" w:rsidP="0033419E">
      <w:pPr>
        <w:pStyle w:val="Prrafodelista"/>
        <w:numPr>
          <w:ilvl w:val="0"/>
          <w:numId w:val="6"/>
        </w:numPr>
        <w:jc w:val="both"/>
        <w:rPr>
          <w:rFonts w:ascii="Montserrat" w:hAnsi="Montserrat" w:cstheme="minorHAnsi"/>
        </w:rPr>
      </w:pPr>
      <w:r w:rsidRPr="008F189D">
        <w:rPr>
          <w:rFonts w:ascii="Montserrat" w:hAnsi="Montserrat" w:cstheme="minorHAnsi"/>
        </w:rPr>
        <w:t>Cuando se termina una relación laboral, se protocoliza un convenio ante la Junta Federal de Conciliación y Arbitraje como autoridad garante de sus derechos y se ofrece un finiquito en términos de la Ley laboral aplicable para evitar demandad.</w:t>
      </w:r>
    </w:p>
    <w:p w14:paraId="3A93BBFC" w14:textId="77777777" w:rsidR="0033419E" w:rsidRPr="008F189D" w:rsidRDefault="0033419E" w:rsidP="0033419E">
      <w:pPr>
        <w:pStyle w:val="Prrafodelista"/>
        <w:numPr>
          <w:ilvl w:val="0"/>
          <w:numId w:val="6"/>
        </w:numPr>
        <w:jc w:val="both"/>
        <w:rPr>
          <w:rFonts w:ascii="Montserrat" w:hAnsi="Montserrat" w:cstheme="minorHAnsi"/>
        </w:rPr>
      </w:pPr>
      <w:r w:rsidRPr="008F189D">
        <w:rPr>
          <w:rFonts w:ascii="Montserrat" w:hAnsi="Montserrat" w:cstheme="minorHAnsi"/>
        </w:rPr>
        <w:t xml:space="preserve">En los juicios en proceso se ha buscado con apoyo de la Junta Federal de Conciliación y Arbitraje sostener pláticas de carácter conciliatorio y poder terminar los juicios en el menor tiempo posible. </w:t>
      </w:r>
    </w:p>
    <w:p w14:paraId="509F8DA9" w14:textId="77777777" w:rsidR="0033419E" w:rsidRPr="008F189D" w:rsidRDefault="0033419E" w:rsidP="0033419E">
      <w:pPr>
        <w:pStyle w:val="Prrafodelista"/>
        <w:numPr>
          <w:ilvl w:val="0"/>
          <w:numId w:val="6"/>
        </w:numPr>
        <w:jc w:val="both"/>
        <w:rPr>
          <w:rFonts w:ascii="Montserrat" w:hAnsi="Montserrat" w:cstheme="minorHAnsi"/>
        </w:rPr>
      </w:pPr>
      <w:r w:rsidRPr="008F189D">
        <w:rPr>
          <w:rFonts w:ascii="Montserrat" w:hAnsi="Montserrat" w:cstheme="minorHAnsi"/>
        </w:rPr>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8F189D" w:rsidRDefault="0033419E" w:rsidP="0033419E">
      <w:pPr>
        <w:pStyle w:val="Prrafodelista"/>
        <w:jc w:val="both"/>
        <w:rPr>
          <w:rFonts w:ascii="Montserrat" w:hAnsi="Montserrat" w:cstheme="minorHAnsi"/>
          <w:b/>
          <w:bCs/>
        </w:rPr>
      </w:pPr>
    </w:p>
    <w:p w14:paraId="6D48E5BE" w14:textId="77777777" w:rsidR="0033419E" w:rsidRPr="008F189D" w:rsidRDefault="0033419E" w:rsidP="0033419E">
      <w:pPr>
        <w:jc w:val="center"/>
        <w:rPr>
          <w:rFonts w:ascii="Montserrat" w:hAnsi="Montserrat" w:cstheme="minorHAnsi"/>
          <w:b/>
          <w:bCs/>
        </w:rPr>
      </w:pPr>
    </w:p>
    <w:p w14:paraId="20A2A4FC" w14:textId="77777777" w:rsidR="0033419E" w:rsidRPr="008F189D" w:rsidRDefault="0033419E" w:rsidP="0033419E">
      <w:pPr>
        <w:jc w:val="center"/>
        <w:rPr>
          <w:rFonts w:ascii="Montserrat" w:hAnsi="Montserrat" w:cstheme="minorHAnsi"/>
          <w:b/>
          <w:bCs/>
        </w:rPr>
      </w:pPr>
      <w:r w:rsidRPr="008F189D">
        <w:rPr>
          <w:rFonts w:ascii="Montserrat" w:hAnsi="Montserrat" w:cstheme="minorHAnsi"/>
          <w:b/>
          <w:bCs/>
          <w:noProof/>
        </w:rPr>
        <mc:AlternateContent>
          <mc:Choice Requires="wps">
            <w:drawing>
              <wp:anchor distT="45720" distB="45720" distL="114300" distR="114300" simplePos="0" relativeHeight="251659264" behindDoc="0" locked="0" layoutInCell="1" allowOverlap="1" wp14:anchorId="0940F1F1" wp14:editId="1B8E5A6F">
                <wp:simplePos x="0" y="0"/>
                <wp:positionH relativeFrom="column">
                  <wp:posOffset>1682115</wp:posOffset>
                </wp:positionH>
                <wp:positionV relativeFrom="paragraph">
                  <wp:posOffset>300355</wp:posOffset>
                </wp:positionV>
                <wp:extent cx="306705" cy="38608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86080"/>
                        </a:xfrm>
                        <a:prstGeom prst="rect">
                          <a:avLst/>
                        </a:prstGeom>
                        <a:solidFill>
                          <a:srgbClr val="FFFFFF"/>
                        </a:solidFill>
                        <a:ln w="9525">
                          <a:noFill/>
                          <a:miter lim="800000"/>
                          <a:headEnd/>
                          <a:tailEnd/>
                        </a:ln>
                      </wps:spPr>
                      <wps:txbx>
                        <w:txbxContent>
                          <w:p w14:paraId="375C7168" w14:textId="77777777" w:rsidR="0033419E" w:rsidRDefault="0033419E" w:rsidP="0033419E"/>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40F1F1" id="_x0000_t202" coordsize="21600,21600" o:spt="202" path="m,l,21600r21600,l21600,xe">
                <v:stroke joinstyle="miter"/>
                <v:path gradientshapeok="t" o:connecttype="rect"/>
              </v:shapetype>
              <v:shape id="Cuadro de texto 2" o:spid="_x0000_s1026" type="#_x0000_t202" style="position:absolute;left:0;text-align:left;margin-left:132.45pt;margin-top:23.65pt;width:24.15pt;height:30.4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" stroked="f">
                <v:textbox style="mso-fit-shape-to-text:t">
                  <w:txbxContent>
                    <w:p w14:paraId="375C7168" w14:textId="77777777" w:rsidR="0033419E" w:rsidRDefault="0033419E" w:rsidP="0033419E"/>
                  </w:txbxContent>
                </v:textbox>
                <w10:wrap type="square"/>
              </v:shape>
            </w:pict>
          </mc:Fallback>
        </mc:AlternateContent>
      </w:r>
    </w:p>
    <w:p w14:paraId="1AA00DDF" w14:textId="77777777" w:rsidR="0033419E" w:rsidRPr="008F189D" w:rsidRDefault="0033419E" w:rsidP="0033419E">
      <w:pPr>
        <w:rPr>
          <w:rFonts w:ascii="Montserrat" w:hAnsi="Montserrat" w:cstheme="minorHAnsi"/>
        </w:rPr>
      </w:pPr>
    </w:p>
    <w:p w14:paraId="48C185E7" w14:textId="77777777" w:rsidR="00101C8C" w:rsidRPr="008F189D" w:rsidRDefault="00101C8C" w:rsidP="00A95FF1">
      <w:pPr>
        <w:pStyle w:val="Prrafodelista"/>
        <w:jc w:val="both"/>
        <w:rPr>
          <w:rFonts w:ascii="Montserrat" w:hAnsi="Montserrat" w:cstheme="minorHAnsi"/>
          <w:bCs/>
          <w:highlight w:val="yellow"/>
        </w:rPr>
      </w:pPr>
    </w:p>
    <w:sectPr w:rsidR="00101C8C" w:rsidRPr="008F189D" w:rsidSect="008F189D">
      <w:headerReference w:type="default" r:id="rId9"/>
      <w:pgSz w:w="12240" w:h="15840"/>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36C6" w14:textId="77777777" w:rsidR="005A63BC" w:rsidRDefault="005A63BC" w:rsidP="008E075A">
      <w:pPr>
        <w:spacing w:after="0" w:line="240" w:lineRule="auto"/>
      </w:pPr>
      <w:r>
        <w:separator/>
      </w:r>
    </w:p>
  </w:endnote>
  <w:endnote w:type="continuationSeparator" w:id="0">
    <w:p w14:paraId="041B90F1" w14:textId="77777777" w:rsidR="005A63BC" w:rsidRDefault="005A63BC"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33A3" w14:textId="77777777" w:rsidR="005A63BC" w:rsidRDefault="005A63BC" w:rsidP="008E075A">
      <w:pPr>
        <w:spacing w:after="0" w:line="240" w:lineRule="auto"/>
      </w:pPr>
      <w:r>
        <w:separator/>
      </w:r>
    </w:p>
  </w:footnote>
  <w:footnote w:type="continuationSeparator" w:id="0">
    <w:p w14:paraId="53BFE938" w14:textId="77777777" w:rsidR="005A63BC" w:rsidRDefault="005A63BC"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50A1" w14:textId="0E76CFAE" w:rsidR="00101C8C" w:rsidRDefault="008D35D7" w:rsidP="00101C8C">
    <w:pPr>
      <w:pStyle w:val="Encabezado"/>
    </w:pPr>
    <w:r>
      <w:rPr>
        <w:noProof/>
      </w:rPr>
      <w:drawing>
        <wp:anchor distT="0" distB="0" distL="114300" distR="114300" simplePos="0" relativeHeight="251658240" behindDoc="0" locked="0" layoutInCell="1" allowOverlap="1" wp14:anchorId="56A042C3" wp14:editId="6EEC536D">
          <wp:simplePos x="0" y="0"/>
          <wp:positionH relativeFrom="column">
            <wp:posOffset>71755</wp:posOffset>
          </wp:positionH>
          <wp:positionV relativeFrom="paragraph">
            <wp:posOffset>-225425</wp:posOffset>
          </wp:positionV>
          <wp:extent cx="8260715" cy="762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0715" cy="762000"/>
                  </a:xfrm>
                  <a:prstGeom prst="rect">
                    <a:avLst/>
                  </a:prstGeom>
                  <a:noFill/>
                </pic:spPr>
              </pic:pic>
            </a:graphicData>
          </a:graphic>
          <wp14:sizeRelH relativeFrom="page">
            <wp14:pctWidth>0</wp14:pctWidth>
          </wp14:sizeRelH>
          <wp14:sizeRelV relativeFrom="page">
            <wp14:pctHeight>0</wp14:pctHeight>
          </wp14:sizeRelV>
        </wp:anchor>
      </w:drawing>
    </w:r>
  </w:p>
  <w:p w14:paraId="36631BFC" w14:textId="268BE01F" w:rsidR="00101C8C" w:rsidRDefault="00101C8C" w:rsidP="00101C8C">
    <w:pPr>
      <w:pStyle w:val="Encabezado"/>
    </w:pPr>
  </w:p>
  <w:p w14:paraId="19D74D45" w14:textId="35809EE6" w:rsidR="008E075A" w:rsidRPr="00101C8C" w:rsidRDefault="008E075A" w:rsidP="00101C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1C93" w14:textId="188B8ACE" w:rsidR="008F189D" w:rsidRDefault="008F189D" w:rsidP="00101C8C">
    <w:pPr>
      <w:pStyle w:val="Encabezado"/>
    </w:pPr>
    <w:r>
      <w:rPr>
        <w:noProof/>
      </w:rPr>
      <w:drawing>
        <wp:anchor distT="0" distB="0" distL="114300" distR="114300" simplePos="0" relativeHeight="251659264" behindDoc="0" locked="0" layoutInCell="1" allowOverlap="1" wp14:anchorId="6838198E" wp14:editId="15C63E0F">
          <wp:simplePos x="0" y="0"/>
          <wp:positionH relativeFrom="margin">
            <wp:align>left</wp:align>
          </wp:positionH>
          <wp:positionV relativeFrom="paragraph">
            <wp:posOffset>-205354</wp:posOffset>
          </wp:positionV>
          <wp:extent cx="5401310" cy="908685"/>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08685"/>
                  </a:xfrm>
                  <a:prstGeom prst="rect">
                    <a:avLst/>
                  </a:prstGeom>
                  <a:noFill/>
                </pic:spPr>
              </pic:pic>
            </a:graphicData>
          </a:graphic>
          <wp14:sizeRelH relativeFrom="page">
            <wp14:pctWidth>0</wp14:pctWidth>
          </wp14:sizeRelH>
          <wp14:sizeRelV relativeFrom="page">
            <wp14:pctHeight>0</wp14:pctHeight>
          </wp14:sizeRelV>
        </wp:anchor>
      </w:drawing>
    </w:r>
  </w:p>
  <w:p w14:paraId="6267DF15" w14:textId="2F74FA95" w:rsidR="008F189D" w:rsidRDefault="008F189D" w:rsidP="00101C8C">
    <w:pPr>
      <w:pStyle w:val="Encabezado"/>
    </w:pPr>
  </w:p>
  <w:p w14:paraId="35BE043D" w14:textId="2842D701" w:rsidR="008F189D" w:rsidRDefault="008F189D" w:rsidP="00101C8C">
    <w:pPr>
      <w:pStyle w:val="Encabezado"/>
    </w:pPr>
  </w:p>
  <w:p w14:paraId="273F0433" w14:textId="77777777" w:rsidR="008F189D" w:rsidRDefault="008F189D" w:rsidP="00101C8C">
    <w:pPr>
      <w:pStyle w:val="Encabezado"/>
    </w:pPr>
  </w:p>
  <w:p w14:paraId="45E624DC" w14:textId="77777777" w:rsidR="008F189D" w:rsidRPr="00101C8C" w:rsidRDefault="008F189D"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41E8"/>
    <w:rsid w:val="0005241F"/>
    <w:rsid w:val="00097082"/>
    <w:rsid w:val="000D1030"/>
    <w:rsid w:val="000F561B"/>
    <w:rsid w:val="00101C8C"/>
    <w:rsid w:val="0022777D"/>
    <w:rsid w:val="002876E7"/>
    <w:rsid w:val="002C13C1"/>
    <w:rsid w:val="002E082E"/>
    <w:rsid w:val="00324029"/>
    <w:rsid w:val="0033419E"/>
    <w:rsid w:val="00382017"/>
    <w:rsid w:val="00433934"/>
    <w:rsid w:val="00446597"/>
    <w:rsid w:val="00462EC6"/>
    <w:rsid w:val="004D098C"/>
    <w:rsid w:val="00556457"/>
    <w:rsid w:val="005A63BC"/>
    <w:rsid w:val="005D24AC"/>
    <w:rsid w:val="006B4C69"/>
    <w:rsid w:val="007C78B9"/>
    <w:rsid w:val="00881C44"/>
    <w:rsid w:val="008D35D7"/>
    <w:rsid w:val="008E075A"/>
    <w:rsid w:val="008E79CD"/>
    <w:rsid w:val="008F189D"/>
    <w:rsid w:val="008F5BFA"/>
    <w:rsid w:val="0092639F"/>
    <w:rsid w:val="009375FC"/>
    <w:rsid w:val="00954EC2"/>
    <w:rsid w:val="009E7F25"/>
    <w:rsid w:val="00A105F0"/>
    <w:rsid w:val="00A95FF1"/>
    <w:rsid w:val="00AA4019"/>
    <w:rsid w:val="00B501EE"/>
    <w:rsid w:val="00C213AA"/>
    <w:rsid w:val="00C46187"/>
    <w:rsid w:val="00C66035"/>
    <w:rsid w:val="00C83458"/>
    <w:rsid w:val="00CA211D"/>
    <w:rsid w:val="00CB0D1C"/>
    <w:rsid w:val="00D02857"/>
    <w:rsid w:val="00D50C96"/>
    <w:rsid w:val="00D55BEC"/>
    <w:rsid w:val="00D83233"/>
    <w:rsid w:val="00D972B6"/>
    <w:rsid w:val="00DA4D61"/>
    <w:rsid w:val="00DA790B"/>
    <w:rsid w:val="00E260DC"/>
    <w:rsid w:val="00EB7467"/>
    <w:rsid w:val="00ED60BC"/>
    <w:rsid w:val="00F043A8"/>
    <w:rsid w:val="00F7101F"/>
    <w:rsid w:val="00F861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2</cp:revision>
  <cp:lastPrinted>2019-10-01T13:34:00Z</cp:lastPrinted>
  <dcterms:created xsi:type="dcterms:W3CDTF">2020-07-21T15:07:00Z</dcterms:created>
  <dcterms:modified xsi:type="dcterms:W3CDTF">2020-07-21T15:07:00Z</dcterms:modified>
</cp:coreProperties>
</file>