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8D76" w14:textId="77777777" w:rsidR="00422B35" w:rsidRDefault="00422B35">
      <w:pPr>
        <w:keepNext/>
        <w:keepLines/>
        <w:widowControl w:val="0"/>
        <w:autoSpaceDE w:val="0"/>
        <w:autoSpaceDN w:val="0"/>
        <w:adjustRightInd w:val="0"/>
        <w:spacing w:before="480" w:after="120" w:line="240" w:lineRule="auto"/>
        <w:ind w:left="116" w:right="118"/>
        <w:jc w:val="both"/>
        <w:rPr>
          <w:rFonts w:ascii="Arial" w:hAnsi="Arial" w:cs="Arial"/>
          <w:sz w:val="24"/>
          <w:szCs w:val="24"/>
        </w:rPr>
      </w:pPr>
      <w:r>
        <w:rPr>
          <w:rFonts w:ascii="Soberana Titular" w:hAnsi="Soberana Titular" w:cs="Soberana Titular"/>
          <w:color w:val="0D0D0D"/>
          <w:sz w:val="24"/>
          <w:szCs w:val="24"/>
        </w:rPr>
        <w:t xml:space="preserve">REPORTE DE INDICADORES POR INSTITUCIÓN </w:t>
      </w:r>
    </w:p>
    <w:p w14:paraId="6F30BE8F" w14:textId="77777777" w:rsidR="00422B35" w:rsidRDefault="00422B35">
      <w:pPr>
        <w:widowControl w:val="0"/>
        <w:autoSpaceDE w:val="0"/>
        <w:autoSpaceDN w:val="0"/>
        <w:adjustRightInd w:val="0"/>
        <w:spacing w:after="200" w:line="276" w:lineRule="auto"/>
        <w:ind w:left="1196" w:right="118"/>
        <w:jc w:val="both"/>
        <w:rPr>
          <w:rFonts w:cs="Calibri"/>
          <w:color w:val="000000"/>
          <w:sz w:val="2"/>
          <w:szCs w:val="2"/>
        </w:rPr>
      </w:pPr>
    </w:p>
    <w:p w14:paraId="3C0B53DC" w14:textId="77777777" w:rsidR="00422B35" w:rsidRDefault="00422B35">
      <w:pPr>
        <w:widowControl w:val="0"/>
        <w:autoSpaceDE w:val="0"/>
        <w:autoSpaceDN w:val="0"/>
        <w:adjustRightInd w:val="0"/>
        <w:spacing w:after="120" w:line="276" w:lineRule="auto"/>
        <w:ind w:left="116" w:right="118"/>
        <w:jc w:val="both"/>
        <w:rPr>
          <w:rFonts w:ascii="Arial" w:hAnsi="Arial" w:cs="Arial"/>
          <w:sz w:val="24"/>
          <w:szCs w:val="24"/>
        </w:rPr>
      </w:pPr>
      <w:r>
        <w:rPr>
          <w:rFonts w:ascii="Soberana Sans" w:hAnsi="Soberana Sans" w:cs="Soberana Sans"/>
          <w:color w:val="0D0D0D"/>
        </w:rPr>
        <w:t>En este apartado se integra la información del avance de los indicadores, de acuerdo con su frecuencia de medición y la aplicabilidad de los mismos.</w:t>
      </w:r>
    </w:p>
    <w:p w14:paraId="199CE595" w14:textId="77777777" w:rsidR="00EA27FD" w:rsidRDefault="00422B35" w:rsidP="00EA27FD">
      <w:pPr>
        <w:widowControl w:val="0"/>
        <w:autoSpaceDE w:val="0"/>
        <w:autoSpaceDN w:val="0"/>
        <w:adjustRightInd w:val="0"/>
        <w:spacing w:after="200" w:line="276" w:lineRule="auto"/>
        <w:ind w:left="116" w:right="118"/>
        <w:rPr>
          <w:rFonts w:ascii="Soberana Sans" w:hAnsi="Soberana Sans" w:cs="Soberana Sans"/>
          <w:b/>
          <w:bCs/>
          <w:color w:val="0D0D0D"/>
          <w:sz w:val="2"/>
          <w:szCs w:val="2"/>
        </w:rPr>
      </w:pPr>
      <w:r>
        <w:rPr>
          <w:rFonts w:ascii="Soberana Sans" w:hAnsi="Soberana Sans" w:cs="Soberana Sans"/>
          <w:b/>
          <w:bCs/>
          <w:color w:val="0D0D0D"/>
          <w:sz w:val="2"/>
          <w:szCs w:val="2"/>
        </w:rPr>
        <w:t xml:space="preserve"> </w:t>
      </w:r>
    </w:p>
    <w:p w14:paraId="3320439F"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1 Porcentaje de contratos registrados en la Bitácora Electrónica de Seguimiento de Adquisiciones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58FF3B80"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77CEF0F7"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378CF2D1"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529A7C6F"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0BA48D7D"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42D49BBF"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7167D616"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486669DA"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354C1A43"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Porcentaje de contratos registrados en la Bitácora Electrónica de Seguimiento de Adquisiciones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43984A1E"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Mide la proporción de contratos registrados en la Bitácora Electrónica de Seguimiento de Adquisiciones</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44602934"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 xml:space="preserve">(Total de contratos registrados en la Bitácora Electrónica de Seguimiento de Adquisiciones / Universo de </w:t>
            </w:r>
            <w:r w:rsidR="00EA27FD" w:rsidRPr="00584163">
              <w:rPr>
                <w:rFonts w:ascii="Soberana Sans" w:hAnsi="Soberana Sans" w:cs="Soberana Sans"/>
                <w:color w:val="0D0D0D"/>
                <w:sz w:val="16"/>
                <w:szCs w:val="16"/>
              </w:rPr>
              <w:t>contratos) *</w:t>
            </w:r>
            <w:r w:rsidRPr="00584163">
              <w:rPr>
                <w:rFonts w:ascii="Soberana Sans" w:hAnsi="Soberana Sans" w:cs="Soberana Sans"/>
                <w:color w:val="0D0D0D"/>
                <w:sz w:val="16"/>
                <w:szCs w:val="16"/>
              </w:rPr>
              <w:t>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38199498"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09A171A8"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BF7B9D9"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15F153B8"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1191F9E0"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282BB090"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2F2141E8"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29EA2099"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4C254798"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66256DEB"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CompraNet. Programa Anual de Adquisiciones, Arrendamientos y Servicios (PAAAS).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44F6B36D"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474E3B62"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Constante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1F48EFD3"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4D38792B"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0D93FC68"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0A8D567E"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3BDA84"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723AE360"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31C998" w14:textId="77777777" w:rsidR="00EA27FD" w:rsidRPr="00584163" w:rsidRDefault="00422B35">
            <w:pPr>
              <w:widowControl w:val="0"/>
              <w:autoSpaceDE w:val="0"/>
              <w:autoSpaceDN w:val="0"/>
              <w:adjustRightInd w:val="0"/>
              <w:spacing w:after="0" w:line="240" w:lineRule="auto"/>
              <w:ind w:left="109" w:right="106"/>
              <w:jc w:val="center"/>
              <w:rPr>
                <w:rFonts w:ascii="Soberana Sans" w:hAnsi="Soberana Sans" w:cs="Soberana Sans"/>
                <w:b/>
                <w:bCs/>
                <w:color w:val="000000"/>
                <w:sz w:val="16"/>
                <w:szCs w:val="16"/>
              </w:rPr>
            </w:pPr>
            <w:r w:rsidRPr="00584163">
              <w:rPr>
                <w:rFonts w:ascii="Soberana Sans" w:hAnsi="Soberana Sans" w:cs="Soberana Sans"/>
                <w:b/>
                <w:bCs/>
                <w:color w:val="000000"/>
                <w:sz w:val="16"/>
                <w:szCs w:val="16"/>
              </w:rPr>
              <w:t xml:space="preserve">Total de contratos registrados en la Bitácora Electrónica de Seguimiento de Adquisiciones  </w:t>
            </w:r>
          </w:p>
          <w:p w14:paraId="090F9F78"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(Variable1)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656A81" w14:textId="77777777" w:rsidR="00EA27FD" w:rsidRPr="00584163" w:rsidRDefault="00422B35">
            <w:pPr>
              <w:widowControl w:val="0"/>
              <w:autoSpaceDE w:val="0"/>
              <w:autoSpaceDN w:val="0"/>
              <w:adjustRightInd w:val="0"/>
              <w:spacing w:after="0" w:line="240" w:lineRule="auto"/>
              <w:ind w:left="110" w:right="104"/>
              <w:jc w:val="center"/>
              <w:rPr>
                <w:rFonts w:ascii="Soberana Sans" w:hAnsi="Soberana Sans" w:cs="Soberana Sans"/>
                <w:b/>
                <w:bCs/>
                <w:color w:val="000000"/>
                <w:sz w:val="16"/>
                <w:szCs w:val="16"/>
              </w:rPr>
            </w:pPr>
            <w:r w:rsidRPr="00584163">
              <w:rPr>
                <w:rFonts w:ascii="Soberana Sans" w:hAnsi="Soberana Sans" w:cs="Soberana Sans"/>
                <w:b/>
                <w:bCs/>
                <w:color w:val="000000"/>
                <w:sz w:val="16"/>
                <w:szCs w:val="16"/>
              </w:rPr>
              <w:t xml:space="preserve">Universo de contratos </w:t>
            </w:r>
          </w:p>
          <w:p w14:paraId="48B39B46"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 xml:space="preserve">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2D58A00D"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3C00E179"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08D6B521"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2FEF621F"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01F4181B"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0146DDA7" w14:textId="77777777" w:rsidR="00422B35" w:rsidRPr="00584163" w:rsidRDefault="00422B35" w:rsidP="00250805">
            <w:pPr>
              <w:widowControl w:val="0"/>
              <w:autoSpaceDE w:val="0"/>
              <w:autoSpaceDN w:val="0"/>
              <w:adjustRightInd w:val="0"/>
              <w:spacing w:after="0" w:line="240" w:lineRule="auto"/>
              <w:ind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16B2082B"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46F00B73"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115C2EEA"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C4D6D06"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77D88347"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880862A"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A7C893"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C659EC"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74A2DE"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998DEA2"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A1F1B2"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C23BD0"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87.50%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17D8808"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bl>
    <w:p w14:paraId="48313C0B"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23D95893"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p>
    <w:p w14:paraId="6427CC6D" w14:textId="77777777" w:rsidR="00422B35" w:rsidRDefault="00422B35">
      <w:pPr>
        <w:widowControl w:val="0"/>
        <w:autoSpaceDE w:val="0"/>
        <w:autoSpaceDN w:val="0"/>
        <w:adjustRightInd w:val="0"/>
        <w:spacing w:after="200" w:line="276" w:lineRule="auto"/>
        <w:ind w:left="116" w:right="118" w:firstLine="284"/>
        <w:rPr>
          <w:rFonts w:ascii="Arial" w:hAnsi="Arial" w:cs="Arial"/>
          <w:sz w:val="24"/>
          <w:szCs w:val="24"/>
        </w:rPr>
      </w:pPr>
      <w:r>
        <w:rPr>
          <w:rFonts w:ascii="Soberana Sans" w:hAnsi="Soberana Sans" w:cs="Soberana Sans"/>
          <w:b/>
          <w:bCs/>
          <w:color w:val="0D0D0D"/>
          <w:sz w:val="2"/>
          <w:szCs w:val="2"/>
        </w:rPr>
        <w:t xml:space="preserve"> </w:t>
      </w:r>
    </w:p>
    <w:p w14:paraId="65DA674F" w14:textId="77777777" w:rsidR="00422B35" w:rsidRDefault="00422B35">
      <w:pPr>
        <w:widowControl w:val="0"/>
        <w:autoSpaceDE w:val="0"/>
        <w:autoSpaceDN w:val="0"/>
        <w:adjustRightInd w:val="0"/>
        <w:spacing w:after="200" w:line="276" w:lineRule="auto"/>
        <w:ind w:left="116" w:right="118"/>
        <w:jc w:val="both"/>
        <w:rPr>
          <w:rFonts w:ascii="Arial" w:hAnsi="Arial" w:cs="Arial"/>
          <w:sz w:val="24"/>
          <w:szCs w:val="24"/>
        </w:rPr>
      </w:pPr>
      <w:r>
        <w:rPr>
          <w:rFonts w:ascii="Soberana Sans" w:hAnsi="Soberana Sans" w:cs="Soberana Sans"/>
          <w:b/>
          <w:bCs/>
          <w:color w:val="0D0D0D"/>
        </w:rPr>
        <w:lastRenderedPageBreak/>
        <w:t>II.</w:t>
      </w:r>
      <w:r>
        <w:rPr>
          <w:rFonts w:ascii="Times New Roman" w:hAnsi="Times New Roman"/>
          <w:color w:val="000000"/>
          <w:sz w:val="24"/>
          <w:szCs w:val="24"/>
        </w:rPr>
        <w:t xml:space="preserve"> </w:t>
      </w:r>
      <w:r>
        <w:rPr>
          <w:rFonts w:ascii="Soberana Sans" w:hAnsi="Soberana Sans" w:cs="Soberana Sans"/>
          <w:b/>
          <w:bCs/>
          <w:color w:val="0D0D0D"/>
        </w:rPr>
        <w:t xml:space="preserve">2 Porcentaje de atención de acuerdos de COCODI relacionados con el seguimiento de las metas de los programas presupuestarios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2ECD5724"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06BA2941"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4CE734FD"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1694C038"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639EEA66"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629344E3"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46C69FA4"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2B0A4D5C"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5CE8A2A7"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Porcentaje de atención de acuerdos de COCODI relacionados con el seguimiento de las metas de los programas presupuestarios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63B4CB37"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Mide el porcentaje de atención de los acuerdos aprobados en COCODI relacionados con el seguimiento de las metas de los programas presupuestarios</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29E4E20F"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(Acuerdos atendidos relacionados con el seguimiento de las metas de los programas presupuestarios / Acuerdos aprobados en la sesión del COCODI relacionados con el seguimiento de las metas de los programas presupuestarios)*100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4CC13490"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3C145F7E"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5467C1E"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0DFE2292"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74A04162"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42F939EC"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6E2FED2C"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3FAA940A"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6BA9DFBC"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6980F3D5"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Actas de sesión de los COCODI</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13172672"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7A2AA4C0"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Ascendente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50FF4293"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6EF9236F"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55B7CB18"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66D14824"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5C97FCC"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1E386C1C"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982E15"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Acuerdos atendidos relacionados con el seguimiento de las metas de los programas presupuestarios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2CD982"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Acuerdos aprobados en la sesión del COCODI relacionados con el seguimiento de las metas de los programas presupuestarios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55A1300F"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23BD9581"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3B1D387A"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6B0C6627"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1321B126"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06F74B56"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5811E022"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40D0538A"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2035C236"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E95B462"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0CA17E8B"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9684458"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12BCAF"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DD61D0" w14:textId="77777777" w:rsidR="00422B35" w:rsidRPr="00584163" w:rsidRDefault="00422B35">
            <w:pPr>
              <w:keepLines/>
              <w:widowControl w:val="0"/>
              <w:autoSpaceDE w:val="0"/>
              <w:autoSpaceDN w:val="0"/>
              <w:adjustRightInd w:val="0"/>
              <w:spacing w:after="0" w:line="240" w:lineRule="auto"/>
              <w:ind w:left="109" w:right="106"/>
              <w:jc w:val="center"/>
              <w:rPr>
                <w:rFonts w:ascii="Soberana Sans" w:hAnsi="Soberana Sans" w:cs="Soberana Sans"/>
                <w:color w:val="0D0D0D"/>
                <w:sz w:val="16"/>
                <w:szCs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E330B" w14:textId="77777777" w:rsidR="00422B35" w:rsidRPr="00584163" w:rsidRDefault="00422B35">
            <w:pPr>
              <w:keepLines/>
              <w:widowControl w:val="0"/>
              <w:autoSpaceDE w:val="0"/>
              <w:autoSpaceDN w:val="0"/>
              <w:adjustRightInd w:val="0"/>
              <w:spacing w:after="0" w:line="240" w:lineRule="auto"/>
              <w:ind w:left="110" w:right="104"/>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EF8F59A"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FF2EF29"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5CDC60B"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337F26"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Sin información a reportar en el periodo </w:t>
            </w:r>
          </w:p>
        </w:tc>
      </w:tr>
    </w:tbl>
    <w:p w14:paraId="2A8054A5"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183C069E"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1 Porcentaje de difusión de posibles faltas administrativas que pueden cometer las personas servidoras públicas y las sanciones a que se pueden hacer acreedoras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2E04B6B1"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51D686F8"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02803784"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05E17753"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35AB6885"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0BD58718"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19AC4FDB"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6C3577FA"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0BDE63DA"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Porcentaje de difusión de posibles faltas administrativas que pueden cometer las personas servidoras públicas y las sanciones a que se pueden hacer acreedoras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6DA94BB5"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Mide el número de comunicados emitidos por las dependencias y entidades para difundir las faltas y sanciones en materia administrativa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12CA415A"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(Número de comunicados emitidos / Número total de comunicados programados)*100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7439E5E5"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2F3C0073"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A48A057"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23F4694A"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2BEA0343"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lastRenderedPageBreak/>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4B8BDFC1"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5013D4B7"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23D45603"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1D32E24C"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7277F833"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Registro de comunicados emitidos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7F799ED4"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77CF3734"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Constante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6385C066"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44203DE6"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5DAE0931"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23F3748D"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CB1073"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0242F3B5"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8C17C1"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Número de comunicados emitidos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783F60"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Número total de comunicados programados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3A2424CF"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17A4F85C"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2ED8AF20"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49C31FF6"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21D408A4"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78A37B0F"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32B4DB9F"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5F5A2F43"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1226F685"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5E5C3340"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23EA08AA"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BCBFEBD"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F8A23A"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7477CA"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246FBA"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FDF0969"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78EEFD"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C7544B0"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9D8F98A"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bl>
    <w:p w14:paraId="645B19F4"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15FF8853"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2 Eficacia en asesorías y consultas brindadas en materia de conflictos de intereses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14C7428D"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071D9419"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09F64C6D"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3B50C8EE"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253924A9"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1C4024D7"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63D1FD7B"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19220979"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48DEA4EC"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Eficacia en asesorías y consultas brindadas en materia de conflictos de intereses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2069DBD6"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Expresa el porcentaje de asesorías y consultas en materia de conflictos de intereses brindadas por el Comité de Ética y de Prevención de Conflictos de Interés, CEPCI, del correspondiente organismo público, durante el trimestre de referencia, respecto al total de asesorías y consultas que sobre dicha materia son requeridas a éstos, en el mismo periodo de referencia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18235C03"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(Número de asesorías y consultas en materia de Conflictos de Intereses atendidas por el Comité de Ética y de Prevención de Conflictos de Interés (CEPCI), en un plazo no mayor a 10 días hábiles posteriores a la fecha en que se presentaron / Número de asesorías y consultas en materia de Conflictos de Intereses solicitadas al CEPCI en el periodo)*100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1F8DAC91"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206616CB"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49D235C8"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4312C576"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07853B1F"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1D39D1C8"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4E319E00"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6087569E"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24410312"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422E2672"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Formularios de estadística de asesorías brindadas por el CEPCI, que éste incorpore al SSECCOE</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7F85B070"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46CEAE66"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Constante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020566AF"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6D1F858E"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645B0F21"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6D539C62"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lastRenderedPageBreak/>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A348EC"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0231602D"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435B0A"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Número de asesorías y consultas en materia de Conflictos de Intereses atendidas por el Comité de Ética y de Prevención de Conflictos de Interés, CEPCI, en un plazo no mayor a 10 días hábiles posteriores a la fecha en que se presentaron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2086D6C"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Número de asesorías y consultas en materia de Conflictos de Intereses solicitadas al CEPCI en el periodo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385A8A19"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0470ADF6"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71CE77C7"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18D5FD17"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09467B12"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14605289"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4E4B1AAD"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324B2E93"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51C08BAA"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FEC27D2"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47C18E8E"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2BAD3A5"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64772"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FFA678"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A2436E"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0193ED"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94B114"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85A3F22"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934C04A"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bl>
    <w:p w14:paraId="6786B5D9"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35FB44FC"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3 Porcentaje de denuncias remitidas a los titulares de las áreas de quejas de los OIC o a la SFP dentro de los 15 días naturales, a partir de que se tenga conocimiento de la presunta infracción a la normatividad en materia de contrataciones públicas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20B06479"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03925AC2"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2CCE3E39"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2A0B3EF0"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0C7A53E2"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4BF0BEA5"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6DCEACF6"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056936D7"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7F35D710"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Porcentaje de denuncias remitidas a los titulares de las áreas de quejas de los OIC o a la SFP dentro de los 15 días naturales, a partir de que se tenga conocimiento de la presunta infracción a la normatividad en materia de contrataciones públicas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4F887028"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Porcentaje de denuncias remitidas dentro de los 15 días naturales, a partir de que se tenga conocimiento de la presunta infracción a la normatividad en materia de contrataciones públicas</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40438560"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(Denuncias remitidas dentro de los 15 días naturales, a partir de que se tenga conocimiento de la presunta infracción a la normatividad en materia de contrataciones públicas, en el periodo / Denuncias remitidas en el periodo)*100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79607B5A"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5D96165E"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69956C"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53222033"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61E4EE96"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26A1D38D"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293D80A5"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377D0B2A"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13B22504"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5F3A2B7A"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Registro de denuncias remitidas</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55A2D730"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63262D8B"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Ascendente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4AAE16EB"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3442D6A8"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2FAF46E6"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0331BA76"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lastRenderedPageBreak/>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5CAE2A9"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73664429"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51D6C6"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Denuncias remitidas dentro de los 15 días naturales, a partir de que se tenga conocimiento de la presunta infracción a la normatividad en materia de contrataciones públicas, en el periodo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FA949C4"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Denuncias remitidas en el periodo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3C7FA3E5"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07BF4ACE"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50A586AB"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792C330C"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7986AA0B"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723FC2FD"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13285129"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0CBE3F14"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48597D7F"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E3668A6"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68345344"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C305F22"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BE67B4"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9D41C0" w14:textId="77777777" w:rsidR="00422B35" w:rsidRPr="00584163" w:rsidRDefault="00422B35">
            <w:pPr>
              <w:keepLines/>
              <w:widowControl w:val="0"/>
              <w:autoSpaceDE w:val="0"/>
              <w:autoSpaceDN w:val="0"/>
              <w:adjustRightInd w:val="0"/>
              <w:spacing w:after="0" w:line="240" w:lineRule="auto"/>
              <w:ind w:left="109" w:right="106"/>
              <w:jc w:val="center"/>
              <w:rPr>
                <w:rFonts w:ascii="Soberana Sans" w:hAnsi="Soberana Sans" w:cs="Soberana Sans"/>
                <w:color w:val="0D0D0D"/>
                <w:sz w:val="16"/>
                <w:szCs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04906" w14:textId="77777777" w:rsidR="00422B35" w:rsidRPr="00584163" w:rsidRDefault="00422B35">
            <w:pPr>
              <w:keepLines/>
              <w:widowControl w:val="0"/>
              <w:autoSpaceDE w:val="0"/>
              <w:autoSpaceDN w:val="0"/>
              <w:adjustRightInd w:val="0"/>
              <w:spacing w:after="0" w:line="240" w:lineRule="auto"/>
              <w:ind w:left="110" w:right="104"/>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2E690F"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0814448"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A256436"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7822E3A"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Sin información a reportar en el periodo </w:t>
            </w:r>
          </w:p>
        </w:tc>
      </w:tr>
    </w:tbl>
    <w:p w14:paraId="3A6B3CA2"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3F01E007"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2 Indicador de fomento a la Nueva Ética Pública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7AA92952"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45FC49D4"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449C1EDD"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46A330CA"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7D9394EA"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21C4C58D"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14DB8579"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4C3EA837"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3458EF0F"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Indicador de fomento a la Nueva Ética Pública</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52D7E612"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Refleja el porcentaje de acciones realizadas por el Comité de Ética y de Prevención de Conflictos de Interés, CEPCI, durante el trimestre de referencia, respecto al total de acciones que se establecieron en el Programa Anual de Trabajo del mismo, para ser llevadas a cabo en dicho periodo</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3FA20F4A"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(Número de acciones realizadas por el CEPCI / Número de acciones comprometidas en el Programa Anual de Trabajo del CEPCI)*100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4731600D"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0BEC5C48"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C8297D"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48C797C1"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059CEEA8"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707C54DB"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6CD04DBE"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0E43595A"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16D75F8A"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2C159A96"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Reportes del Sistema de Seguimiento, Evaluación y Coordinación de los CEPCI (SSECCOE).</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53D82D4E"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274EE7BF"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Constante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191D5F22"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5F78EFD9"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708203D5"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3D9632F2"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lastRenderedPageBreak/>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2D42F5"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516E9110"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19BFE769"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Número de acciones realizadas por el CEPCI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1D5D64"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Número de acciones comprometidas en el Programa Anual de Trabajo del CEPCI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6B94B2A5"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429664BE"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1EA3B028"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08A9ADED"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0C3FF6FC"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46D9FF0F"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341AC5E1"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02262401"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5A959356"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CF2D301"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102AF663"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7422DDA"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E5CE74"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2DEBD8"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10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D7DAE"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F8B7B1A"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FE727C"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7AB0F4"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DE33310"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bl>
    <w:p w14:paraId="5B3ADF7F" w14:textId="77777777" w:rsidR="00422B35" w:rsidRDefault="00422B35" w:rsidP="00EA27FD">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r>
        <w:rPr>
          <w:rFonts w:ascii="Soberana Sans" w:hAnsi="Soberana Sans" w:cs="Soberana Sans"/>
          <w:b/>
          <w:bCs/>
          <w:color w:val="0D0D0D"/>
          <w:sz w:val="2"/>
          <w:szCs w:val="2"/>
        </w:rPr>
        <w:t xml:space="preserve"> </w:t>
      </w:r>
    </w:p>
    <w:p w14:paraId="7C9CF96E" w14:textId="77777777" w:rsidR="00422B35" w:rsidRDefault="00422B35">
      <w:pPr>
        <w:widowControl w:val="0"/>
        <w:autoSpaceDE w:val="0"/>
        <w:autoSpaceDN w:val="0"/>
        <w:adjustRightInd w:val="0"/>
        <w:spacing w:after="200" w:line="276" w:lineRule="auto"/>
        <w:ind w:left="116" w:right="118"/>
        <w:jc w:val="both"/>
        <w:rPr>
          <w:rFonts w:ascii="Arial" w:hAnsi="Arial" w:cs="Arial"/>
          <w:sz w:val="24"/>
          <w:szCs w:val="24"/>
        </w:rPr>
      </w:pP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3 Índice de simplificación de procesos y normatividad interna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53ADD363"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2D19D930"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5895C6D3"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4E936BB5"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0897EA6E"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4709321C"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46D44632"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4F82BFD9"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04F9849E"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Índice de simplificación de procesos y normatividad interna</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73614D74"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Mide el desarrollo de acciones de la dependencia o entidad para actualizar el inventario de su normativa vigente y simplificar sus procesos sustantivos</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76E553D9"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[(Número de normas internas actualizadas en inventarios / Número total de normas registradas en el inventario por las instituciones) + (Número de procesos esenciales con acciones de simplificación realizadas / Número de procesos esenciales registrados en inventario)] / 2</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56CE9DA6"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Índice </w:t>
            </w:r>
          </w:p>
        </w:tc>
      </w:tr>
      <w:tr w:rsidR="00422B35" w:rsidRPr="00584163" w14:paraId="2B12E2BD"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6606B9CD"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52B6A191"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0E912A68"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72147EAB"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174C4A61"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64CE2036"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639D9B13"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43610B5F"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Sistema de Administración de Normas Internas de la Administración Pública Federal/ Herramienta para el registro del inventario de procesos (disponible en SANI-SFP y con el OIC)</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7CFE113A"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39E7D67B"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Ascendente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0E1C02A1"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Trimestral </w:t>
            </w:r>
          </w:p>
        </w:tc>
      </w:tr>
    </w:tbl>
    <w:p w14:paraId="305317C6"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2E41902A"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7EC3C1AC"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E9CCE9"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4266D000"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46632B"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Número de normas internas actualizadas en inventarios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575A4A"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Número total de normas registradas en el inventario por las instituciones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022F917E"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Número de procesos esenciales con acciones de simplificación realizadas ( Variable3 )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75ED429F"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Número de procesos esenciales registrados en inventario ( Variable4 )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2A21C247"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(Variable3 / Variable4)] / 2</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6C26F994"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67C8F99F"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2444563A"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6CACC709"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3B5C878D"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106B7597"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41D3AF4"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3A0EA8FF"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8AD842"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lastRenderedPageBreak/>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970A82"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7AEF59" w14:textId="77777777" w:rsidR="00422B35" w:rsidRPr="00584163" w:rsidRDefault="00422B35">
            <w:pPr>
              <w:keepLines/>
              <w:widowControl w:val="0"/>
              <w:autoSpaceDE w:val="0"/>
              <w:autoSpaceDN w:val="0"/>
              <w:adjustRightInd w:val="0"/>
              <w:spacing w:after="0" w:line="240" w:lineRule="auto"/>
              <w:ind w:left="109" w:right="106"/>
              <w:jc w:val="center"/>
              <w:rPr>
                <w:rFonts w:ascii="Soberana Sans" w:hAnsi="Soberana Sans" w:cs="Soberana Sans"/>
                <w:color w:val="0D0D0D"/>
                <w:sz w:val="16"/>
                <w:szCs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3D062B" w14:textId="77777777" w:rsidR="00422B35" w:rsidRPr="00584163" w:rsidRDefault="00422B35">
            <w:pPr>
              <w:keepLines/>
              <w:widowControl w:val="0"/>
              <w:autoSpaceDE w:val="0"/>
              <w:autoSpaceDN w:val="0"/>
              <w:adjustRightInd w:val="0"/>
              <w:spacing w:after="0" w:line="240" w:lineRule="auto"/>
              <w:ind w:left="110" w:right="104"/>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227B7B"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E8120D"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5093392" w14:textId="77777777" w:rsidR="00422B35" w:rsidRPr="00584163" w:rsidRDefault="00422B35">
            <w:pPr>
              <w:keepLines/>
              <w:widowControl w:val="0"/>
              <w:autoSpaceDE w:val="0"/>
              <w:autoSpaceDN w:val="0"/>
              <w:adjustRightInd w:val="0"/>
              <w:spacing w:after="0" w:line="240" w:lineRule="auto"/>
              <w:ind w:left="114" w:right="86"/>
              <w:jc w:val="right"/>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0C4061"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Sin información a reportar en el periodo </w:t>
            </w:r>
          </w:p>
        </w:tc>
      </w:tr>
    </w:tbl>
    <w:p w14:paraId="5F761DB8"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515F08F0" w14:textId="77777777" w:rsidR="00422B35" w:rsidRDefault="00422B35" w:rsidP="00EA27FD">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b/>
          <w:bCs/>
          <w:color w:val="0D0D0D"/>
          <w:sz w:val="2"/>
          <w:szCs w:val="2"/>
        </w:rPr>
        <w:t xml:space="preserve"> </w:t>
      </w:r>
      <w:r>
        <w:rPr>
          <w:rFonts w:ascii="Soberana Sans" w:hAnsi="Soberana Sans" w:cs="Soberana Sans"/>
          <w:b/>
          <w:bCs/>
          <w:color w:val="0D0D0D"/>
        </w:rPr>
        <w:t>II.</w:t>
      </w:r>
      <w:r>
        <w:rPr>
          <w:rFonts w:ascii="Times New Roman" w:hAnsi="Times New Roman"/>
          <w:color w:val="000000"/>
          <w:sz w:val="24"/>
          <w:szCs w:val="24"/>
        </w:rPr>
        <w:t xml:space="preserve"> </w:t>
      </w:r>
      <w:r>
        <w:rPr>
          <w:rFonts w:ascii="Soberana Sans" w:hAnsi="Soberana Sans" w:cs="Soberana Sans"/>
          <w:b/>
          <w:bCs/>
          <w:color w:val="0D0D0D"/>
        </w:rPr>
        <w:t xml:space="preserve">1 Participación activa para conducir eficientemente la Política Inmobiliaria </w:t>
      </w:r>
    </w:p>
    <w:tbl>
      <w:tblPr>
        <w:tblW w:w="0" w:type="auto"/>
        <w:tblInd w:w="121" w:type="dxa"/>
        <w:tblLayout w:type="fixed"/>
        <w:tblCellMar>
          <w:left w:w="0" w:type="dxa"/>
          <w:right w:w="0" w:type="dxa"/>
        </w:tblCellMar>
        <w:tblLook w:val="0000" w:firstRow="0" w:lastRow="0" w:firstColumn="0" w:lastColumn="0" w:noHBand="0" w:noVBand="0"/>
      </w:tblPr>
      <w:tblGrid>
        <w:gridCol w:w="3178"/>
        <w:gridCol w:w="3286"/>
        <w:gridCol w:w="3287"/>
        <w:gridCol w:w="3432"/>
      </w:tblGrid>
      <w:tr w:rsidR="00422B35" w:rsidRPr="00584163" w14:paraId="4206F42D" w14:textId="77777777">
        <w:tblPrEx>
          <w:tblCellMar>
            <w:top w:w="0" w:type="dxa"/>
            <w:left w:w="0" w:type="dxa"/>
            <w:bottom w:w="0" w:type="dxa"/>
            <w:right w:w="0" w:type="dxa"/>
          </w:tblCellMar>
        </w:tblPrEx>
        <w:trPr>
          <w:cantSplit/>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BFBFBF"/>
          </w:tcPr>
          <w:p w14:paraId="45E6CB02" w14:textId="77777777" w:rsidR="00422B35" w:rsidRPr="00584163" w:rsidRDefault="00422B35">
            <w:pPr>
              <w:keepLines/>
              <w:widowControl w:val="0"/>
              <w:tabs>
                <w:tab w:val="left" w:pos="2863"/>
                <w:tab w:val="center" w:pos="6573"/>
              </w:tabs>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6"/>
                <w:szCs w:val="16"/>
              </w:rPr>
              <w:tab/>
            </w:r>
            <w:r w:rsidRPr="00584163">
              <w:rPr>
                <w:rFonts w:ascii="Soberana Sans" w:hAnsi="Soberana Sans" w:cs="Soberana Sans"/>
                <w:b/>
                <w:bCs/>
                <w:color w:val="0D0D0D"/>
                <w:sz w:val="18"/>
                <w:szCs w:val="18"/>
              </w:rPr>
              <w:t>DATOS DEL INDICADOR</w:t>
            </w:r>
          </w:p>
        </w:tc>
      </w:tr>
      <w:tr w:rsidR="00422B35" w:rsidRPr="00584163" w14:paraId="0DC7EF01"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1FD24422"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Nombre</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608C8166"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Descripción general</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094D16FA"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Método de Cálculo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6D771E07"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Unidad de Medida</w:t>
            </w:r>
          </w:p>
        </w:tc>
      </w:tr>
      <w:tr w:rsidR="00422B35" w:rsidRPr="00584163" w14:paraId="5535B9E0" w14:textId="77777777">
        <w:tblPrEx>
          <w:tblCellMar>
            <w:top w:w="0" w:type="dxa"/>
            <w:left w:w="0" w:type="dxa"/>
            <w:bottom w:w="0" w:type="dxa"/>
            <w:right w:w="0" w:type="dxa"/>
          </w:tblCellMar>
        </w:tblPrEx>
        <w:trPr>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4A28A199" w14:textId="77777777" w:rsidR="00422B35" w:rsidRPr="00584163" w:rsidRDefault="00422B35">
            <w:pPr>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Participación activa para conducir eficientemente la Política Inmobiliaria</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13CC592E" w14:textId="77777777" w:rsidR="00422B35" w:rsidRPr="00584163" w:rsidRDefault="00422B35">
            <w:pPr>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Mide la cantidad de acciones, altas, bajas, actualizaciones de información, que las dependencias realizan por medio de su Responsable Inmobiliario en el Sistema de Información del Inventario del Patrimonio Inmobiliario Federal y Paraestatal.</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2185F116" w14:textId="77777777" w:rsidR="00422B35" w:rsidRPr="00584163" w:rsidRDefault="00422B35">
            <w:pPr>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(Cantidad de acciones realizadas en el periodo / Número de inmuebles administrados por la dependencia o entidad)*100</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2A7E9563" w14:textId="77777777" w:rsidR="00422B35" w:rsidRPr="00584163" w:rsidRDefault="00422B35">
            <w:pPr>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Porcentaje </w:t>
            </w:r>
          </w:p>
        </w:tc>
      </w:tr>
      <w:tr w:rsidR="00422B35" w:rsidRPr="00584163" w14:paraId="77C50212" w14:textId="77777777">
        <w:tblPrEx>
          <w:tblCellMar>
            <w:top w:w="0" w:type="dxa"/>
            <w:left w:w="0" w:type="dxa"/>
            <w:bottom w:w="0" w:type="dxa"/>
            <w:right w:w="0" w:type="dxa"/>
          </w:tblCellMar>
        </w:tblPrEx>
        <w:trPr>
          <w:tblHeader/>
        </w:trPr>
        <w:tc>
          <w:tcPr>
            <w:tcW w:w="13183" w:type="dxa"/>
            <w:gridSpan w:val="4"/>
            <w:tcBorders>
              <w:top w:val="single" w:sz="4" w:space="0" w:color="000000"/>
              <w:left w:val="single" w:sz="4" w:space="0" w:color="000000"/>
              <w:bottom w:val="single" w:sz="4" w:space="0" w:color="000000"/>
              <w:right w:val="single" w:sz="4" w:space="0" w:color="000000"/>
            </w:tcBorders>
            <w:shd w:val="clear" w:color="auto" w:fill="FFFFFF"/>
          </w:tcPr>
          <w:p w14:paraId="0928A816" w14:textId="77777777" w:rsidR="00422B35" w:rsidRPr="00584163" w:rsidRDefault="00422B35">
            <w:pPr>
              <w:widowControl w:val="0"/>
              <w:autoSpaceDE w:val="0"/>
              <w:autoSpaceDN w:val="0"/>
              <w:adjustRightInd w:val="0"/>
              <w:spacing w:after="0" w:line="240" w:lineRule="auto"/>
              <w:ind w:left="108" w:right="105"/>
              <w:jc w:val="both"/>
              <w:rPr>
                <w:rFonts w:ascii="Arial" w:hAnsi="Arial" w:cs="Arial"/>
                <w:sz w:val="24"/>
                <w:szCs w:val="24"/>
              </w:rPr>
            </w:pPr>
          </w:p>
        </w:tc>
      </w:tr>
      <w:tr w:rsidR="00422B35" w:rsidRPr="00584163" w14:paraId="25A5CE51"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BFBFBF"/>
          </w:tcPr>
          <w:p w14:paraId="5BED6193"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b/>
                <w:bCs/>
                <w:color w:val="0D0D0D"/>
                <w:sz w:val="16"/>
                <w:szCs w:val="16"/>
              </w:rPr>
              <w:t>Medio de verificación</w:t>
            </w:r>
          </w:p>
        </w:tc>
        <w:tc>
          <w:tcPr>
            <w:tcW w:w="3286" w:type="dxa"/>
            <w:tcBorders>
              <w:top w:val="single" w:sz="4" w:space="0" w:color="000000"/>
              <w:left w:val="single" w:sz="4" w:space="0" w:color="000000"/>
              <w:bottom w:val="single" w:sz="4" w:space="0" w:color="000000"/>
              <w:right w:val="single" w:sz="4" w:space="0" w:color="000000"/>
            </w:tcBorders>
            <w:shd w:val="clear" w:color="auto" w:fill="BFBFBF"/>
          </w:tcPr>
          <w:p w14:paraId="3CC53A1D"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b/>
                <w:bCs/>
                <w:color w:val="0D0D0D"/>
                <w:sz w:val="16"/>
                <w:szCs w:val="16"/>
              </w:rPr>
              <w:t>Dimensión</w:t>
            </w:r>
          </w:p>
        </w:tc>
        <w:tc>
          <w:tcPr>
            <w:tcW w:w="3287" w:type="dxa"/>
            <w:tcBorders>
              <w:top w:val="single" w:sz="4" w:space="0" w:color="000000"/>
              <w:left w:val="single" w:sz="4" w:space="0" w:color="000000"/>
              <w:bottom w:val="single" w:sz="4" w:space="0" w:color="000000"/>
              <w:right w:val="single" w:sz="4" w:space="0" w:color="000000"/>
            </w:tcBorders>
            <w:shd w:val="clear" w:color="auto" w:fill="BFBFBF"/>
          </w:tcPr>
          <w:p w14:paraId="75535215"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b/>
                <w:bCs/>
                <w:color w:val="0D0D0D"/>
                <w:sz w:val="16"/>
                <w:szCs w:val="16"/>
              </w:rPr>
              <w:t>Sentido</w:t>
            </w:r>
          </w:p>
        </w:tc>
        <w:tc>
          <w:tcPr>
            <w:tcW w:w="3432" w:type="dxa"/>
            <w:tcBorders>
              <w:top w:val="single" w:sz="4" w:space="0" w:color="000000"/>
              <w:left w:val="single" w:sz="4" w:space="0" w:color="000000"/>
              <w:bottom w:val="single" w:sz="4" w:space="0" w:color="000000"/>
              <w:right w:val="single" w:sz="4" w:space="0" w:color="000000"/>
            </w:tcBorders>
            <w:shd w:val="clear" w:color="auto" w:fill="BFBFBF"/>
          </w:tcPr>
          <w:p w14:paraId="1880F0E2"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b/>
                <w:bCs/>
                <w:color w:val="0D0D0D"/>
                <w:sz w:val="16"/>
                <w:szCs w:val="16"/>
              </w:rPr>
              <w:t>Frecuencia de medición</w:t>
            </w:r>
          </w:p>
        </w:tc>
      </w:tr>
      <w:tr w:rsidR="00422B35" w:rsidRPr="00584163" w14:paraId="2C79491E" w14:textId="77777777">
        <w:tblPrEx>
          <w:tblCellMar>
            <w:top w:w="0" w:type="dxa"/>
            <w:left w:w="0" w:type="dxa"/>
            <w:bottom w:w="0" w:type="dxa"/>
            <w:right w:w="0" w:type="dxa"/>
          </w:tblCellMar>
        </w:tblPrEx>
        <w:trPr>
          <w:cantSplit/>
          <w:tblHeader/>
        </w:trPr>
        <w:tc>
          <w:tcPr>
            <w:tcW w:w="3178" w:type="dxa"/>
            <w:tcBorders>
              <w:top w:val="single" w:sz="4" w:space="0" w:color="000000"/>
              <w:left w:val="single" w:sz="4" w:space="0" w:color="000000"/>
              <w:bottom w:val="single" w:sz="4" w:space="0" w:color="000000"/>
              <w:right w:val="single" w:sz="4" w:space="0" w:color="000000"/>
            </w:tcBorders>
            <w:shd w:val="clear" w:color="auto" w:fill="FFFFFF"/>
          </w:tcPr>
          <w:p w14:paraId="64E8C673" w14:textId="77777777" w:rsidR="00422B35" w:rsidRPr="00584163" w:rsidRDefault="00422B35">
            <w:pPr>
              <w:keepLines/>
              <w:widowControl w:val="0"/>
              <w:autoSpaceDE w:val="0"/>
              <w:autoSpaceDN w:val="0"/>
              <w:adjustRightInd w:val="0"/>
              <w:spacing w:after="0" w:line="240" w:lineRule="auto"/>
              <w:ind w:left="108" w:right="90"/>
              <w:jc w:val="center"/>
              <w:rPr>
                <w:rFonts w:ascii="Arial" w:hAnsi="Arial" w:cs="Arial"/>
                <w:sz w:val="24"/>
                <w:szCs w:val="24"/>
              </w:rPr>
            </w:pPr>
            <w:r w:rsidRPr="00584163">
              <w:rPr>
                <w:rFonts w:ascii="Soberana Sans" w:hAnsi="Soberana Sans" w:cs="Soberana Sans"/>
                <w:color w:val="0D0D0D"/>
                <w:sz w:val="16"/>
                <w:szCs w:val="16"/>
              </w:rPr>
              <w:t>Sistema de Inventario del Patrimonio Inmobiliario Federal y Paraestatal.</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14:paraId="51121F7D" w14:textId="77777777" w:rsidR="00422B35" w:rsidRPr="00584163" w:rsidRDefault="00422B35">
            <w:pPr>
              <w:keepLines/>
              <w:widowControl w:val="0"/>
              <w:autoSpaceDE w:val="0"/>
              <w:autoSpaceDN w:val="0"/>
              <w:adjustRightInd w:val="0"/>
              <w:spacing w:after="0" w:line="240" w:lineRule="auto"/>
              <w:ind w:left="126" w:right="84"/>
              <w:jc w:val="center"/>
              <w:rPr>
                <w:rFonts w:ascii="Arial" w:hAnsi="Arial" w:cs="Arial"/>
                <w:sz w:val="24"/>
                <w:szCs w:val="24"/>
              </w:rPr>
            </w:pPr>
            <w:r w:rsidRPr="00584163">
              <w:rPr>
                <w:rFonts w:ascii="Soberana Sans" w:hAnsi="Soberana Sans" w:cs="Soberana Sans"/>
                <w:color w:val="0D0D0D"/>
                <w:sz w:val="16"/>
                <w:szCs w:val="16"/>
              </w:rPr>
              <w:t>Eficacia</w:t>
            </w:r>
          </w:p>
        </w:tc>
        <w:tc>
          <w:tcPr>
            <w:tcW w:w="3287" w:type="dxa"/>
            <w:tcBorders>
              <w:top w:val="single" w:sz="4" w:space="0" w:color="000000"/>
              <w:left w:val="single" w:sz="4" w:space="0" w:color="000000"/>
              <w:bottom w:val="single" w:sz="4" w:space="0" w:color="000000"/>
              <w:right w:val="single" w:sz="4" w:space="0" w:color="000000"/>
            </w:tcBorders>
            <w:shd w:val="clear" w:color="auto" w:fill="FFFFFF"/>
          </w:tcPr>
          <w:p w14:paraId="3F4EE5F6" w14:textId="77777777" w:rsidR="00422B35" w:rsidRPr="00584163" w:rsidRDefault="00422B35">
            <w:pPr>
              <w:keepLines/>
              <w:widowControl w:val="0"/>
              <w:autoSpaceDE w:val="0"/>
              <w:autoSpaceDN w:val="0"/>
              <w:adjustRightInd w:val="0"/>
              <w:spacing w:after="0" w:line="240" w:lineRule="auto"/>
              <w:ind w:left="112" w:right="97"/>
              <w:jc w:val="center"/>
              <w:rPr>
                <w:rFonts w:ascii="Arial" w:hAnsi="Arial" w:cs="Arial"/>
                <w:sz w:val="24"/>
                <w:szCs w:val="24"/>
              </w:rPr>
            </w:pPr>
            <w:r w:rsidRPr="00584163">
              <w:rPr>
                <w:rFonts w:ascii="Soberana Sans" w:hAnsi="Soberana Sans" w:cs="Soberana Sans"/>
                <w:color w:val="0D0D0D"/>
                <w:sz w:val="16"/>
                <w:szCs w:val="16"/>
              </w:rPr>
              <w:t>Ascendente</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50D8E941" w14:textId="77777777" w:rsidR="00422B35" w:rsidRPr="00584163" w:rsidRDefault="00422B35">
            <w:pPr>
              <w:keepLines/>
              <w:widowControl w:val="0"/>
              <w:autoSpaceDE w:val="0"/>
              <w:autoSpaceDN w:val="0"/>
              <w:adjustRightInd w:val="0"/>
              <w:spacing w:after="0" w:line="240" w:lineRule="auto"/>
              <w:ind w:left="119" w:right="85"/>
              <w:jc w:val="center"/>
              <w:rPr>
                <w:rFonts w:ascii="Arial" w:hAnsi="Arial" w:cs="Arial"/>
                <w:sz w:val="24"/>
                <w:szCs w:val="24"/>
              </w:rPr>
            </w:pPr>
            <w:r w:rsidRPr="00584163">
              <w:rPr>
                <w:rFonts w:ascii="Soberana Sans" w:hAnsi="Soberana Sans" w:cs="Soberana Sans"/>
                <w:color w:val="0D0D0D"/>
                <w:sz w:val="16"/>
                <w:szCs w:val="16"/>
              </w:rPr>
              <w:t xml:space="preserve">Semestral </w:t>
            </w:r>
          </w:p>
        </w:tc>
      </w:tr>
    </w:tbl>
    <w:p w14:paraId="43F6C9F5" w14:textId="77777777" w:rsidR="00422B35" w:rsidRDefault="00422B35">
      <w:pPr>
        <w:widowControl w:val="0"/>
        <w:autoSpaceDE w:val="0"/>
        <w:autoSpaceDN w:val="0"/>
        <w:adjustRightInd w:val="0"/>
        <w:spacing w:after="200" w:line="276" w:lineRule="auto"/>
        <w:ind w:left="116" w:right="118"/>
        <w:rPr>
          <w:rFonts w:ascii="Arial" w:hAnsi="Arial" w:cs="Arial"/>
          <w:sz w:val="24"/>
          <w:szCs w:val="24"/>
        </w:rPr>
      </w:pPr>
      <w:r>
        <w:rPr>
          <w:rFonts w:ascii="Soberana Sans" w:hAnsi="Soberana Sans" w:cs="Soberana Sans"/>
          <w:color w:val="0D0D0D"/>
        </w:rPr>
        <w:t>Periodo reportado: Abril a Junio de 2020</w:t>
      </w:r>
    </w:p>
    <w:tbl>
      <w:tblPr>
        <w:tblW w:w="0" w:type="auto"/>
        <w:tblInd w:w="121" w:type="dxa"/>
        <w:tblLayout w:type="fixed"/>
        <w:tblCellMar>
          <w:left w:w="0" w:type="dxa"/>
          <w:right w:w="0" w:type="dxa"/>
        </w:tblCellMar>
        <w:tblLook w:val="0000" w:firstRow="0" w:lastRow="0" w:firstColumn="0" w:lastColumn="0" w:noHBand="0" w:noVBand="0"/>
      </w:tblPr>
      <w:tblGrid>
        <w:gridCol w:w="1112"/>
        <w:gridCol w:w="99"/>
        <w:gridCol w:w="2050"/>
        <w:gridCol w:w="131"/>
        <w:gridCol w:w="1570"/>
        <w:gridCol w:w="1084"/>
        <w:gridCol w:w="758"/>
        <w:gridCol w:w="1701"/>
        <w:gridCol w:w="1701"/>
        <w:gridCol w:w="1276"/>
        <w:gridCol w:w="1701"/>
      </w:tblGrid>
      <w:tr w:rsidR="00422B35" w:rsidRPr="00584163" w14:paraId="32B287A9" w14:textId="77777777">
        <w:tblPrEx>
          <w:tblCellMar>
            <w:top w:w="0" w:type="dxa"/>
            <w:left w:w="0" w:type="dxa"/>
            <w:bottom w:w="0" w:type="dxa"/>
            <w:right w:w="0" w:type="dxa"/>
          </w:tblCellMar>
        </w:tblPrEx>
        <w:trPr>
          <w:tblHeader/>
        </w:trPr>
        <w:tc>
          <w:tcPr>
            <w:tcW w:w="1112" w:type="dxa"/>
            <w:tcBorders>
              <w:top w:val="single" w:sz="4" w:space="0" w:color="000000"/>
              <w:left w:val="single" w:sz="4" w:space="0" w:color="000000"/>
              <w:bottom w:val="single" w:sz="4" w:space="0" w:color="000000"/>
              <w:right w:val="single" w:sz="4" w:space="0" w:color="000000"/>
            </w:tcBorders>
            <w:shd w:val="clear" w:color="auto" w:fill="BFBFBF"/>
          </w:tcPr>
          <w:p w14:paraId="6DAE8F79" w14:textId="77777777" w:rsidR="00422B35" w:rsidRPr="00584163" w:rsidRDefault="00422B35">
            <w:pPr>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b/>
                <w:bCs/>
                <w:color w:val="0D0D0D"/>
                <w:sz w:val="16"/>
                <w:szCs w:val="16"/>
              </w:rPr>
              <w:t>Ramo</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C2FC22"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b/>
                <w:bCs/>
                <w:color w:val="0D0D0D"/>
                <w:sz w:val="16"/>
                <w:szCs w:val="16"/>
              </w:rPr>
              <w:t>Dependencia o Entidad</w:t>
            </w:r>
          </w:p>
          <w:p w14:paraId="3F4F82D6" w14:textId="77777777" w:rsidR="00422B35" w:rsidRPr="00584163" w:rsidRDefault="00422B35">
            <w:pPr>
              <w:widowControl w:val="0"/>
              <w:autoSpaceDE w:val="0"/>
              <w:autoSpaceDN w:val="0"/>
              <w:adjustRightInd w:val="0"/>
              <w:spacing w:after="0" w:line="240" w:lineRule="auto"/>
              <w:ind w:left="120" w:right="87"/>
              <w:rPr>
                <w:rFonts w:ascii="Arial"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685B2774" w14:textId="77777777" w:rsidR="00422B35" w:rsidRPr="00584163" w:rsidRDefault="00422B35">
            <w:pPr>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b/>
                <w:bCs/>
                <w:color w:val="000000"/>
                <w:sz w:val="16"/>
                <w:szCs w:val="16"/>
              </w:rPr>
              <w:t>Cantidad de acciones realizadas en el periodo ( Variable1 )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057392" w14:textId="77777777" w:rsidR="00422B35" w:rsidRPr="00584163" w:rsidRDefault="00422B35">
            <w:pPr>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b/>
                <w:bCs/>
                <w:color w:val="000000"/>
                <w:sz w:val="16"/>
                <w:szCs w:val="16"/>
              </w:rPr>
              <w:t>Número de inmuebles administrados por la dependencia o entidad ( Variable2 )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482F6721" w14:textId="77777777" w:rsidR="00422B35" w:rsidRPr="00584163" w:rsidRDefault="00422B35">
            <w:pPr>
              <w:widowControl w:val="0"/>
              <w:autoSpaceDE w:val="0"/>
              <w:autoSpaceDN w:val="0"/>
              <w:adjustRightInd w:val="0"/>
              <w:spacing w:after="0" w:line="240" w:lineRule="auto"/>
              <w:ind w:left="112" w:right="103"/>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5D943494" w14:textId="77777777" w:rsidR="00422B35" w:rsidRPr="00584163" w:rsidRDefault="00422B35">
            <w:pPr>
              <w:widowControl w:val="0"/>
              <w:autoSpaceDE w:val="0"/>
              <w:autoSpaceDN w:val="0"/>
              <w:adjustRightInd w:val="0"/>
              <w:spacing w:after="0" w:line="240" w:lineRule="auto"/>
              <w:ind w:left="113" w:right="102"/>
              <w:jc w:val="center"/>
              <w:rPr>
                <w:rFonts w:ascii="Arial" w:hAnsi="Arial" w:cs="Arial"/>
                <w:sz w:val="24"/>
                <w:szCs w:val="24"/>
              </w:rPr>
            </w:pPr>
            <w:r w:rsidRPr="00584163">
              <w:rPr>
                <w:rFonts w:ascii="Soberana Sans" w:hAnsi="Soberana Sans" w:cs="Soberana Sans"/>
                <w:b/>
                <w:bCs/>
                <w:color w:val="0D0D0D"/>
                <w:sz w:val="16"/>
                <w:szCs w:val="16"/>
              </w:rPr>
              <w:t xml:space="preserve"> ( N/A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19B1F892" w14:textId="77777777" w:rsidR="00422B35" w:rsidRPr="00584163" w:rsidRDefault="00422B35">
            <w:pPr>
              <w:widowControl w:val="0"/>
              <w:autoSpaceDE w:val="0"/>
              <w:autoSpaceDN w:val="0"/>
              <w:adjustRightInd w:val="0"/>
              <w:spacing w:after="0" w:line="240" w:lineRule="auto"/>
              <w:ind w:left="114" w:right="86"/>
              <w:jc w:val="center"/>
              <w:rPr>
                <w:rFonts w:ascii="Arial" w:hAnsi="Arial" w:cs="Arial"/>
                <w:sz w:val="24"/>
                <w:szCs w:val="24"/>
              </w:rPr>
            </w:pPr>
            <w:r w:rsidRPr="00584163">
              <w:rPr>
                <w:rFonts w:ascii="Soberana Sans" w:hAnsi="Soberana Sans" w:cs="Soberana Sans"/>
                <w:b/>
                <w:bCs/>
                <w:color w:val="0D0D0D"/>
                <w:sz w:val="16"/>
                <w:szCs w:val="16"/>
              </w:rPr>
              <w:t>Valor del Indicador en el Periodo (Variable1 / Variable2) * 100</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14:paraId="5B99B49B" w14:textId="77777777" w:rsidR="00422B35" w:rsidRPr="00584163" w:rsidRDefault="00422B35">
            <w:pPr>
              <w:widowControl w:val="0"/>
              <w:autoSpaceDE w:val="0"/>
              <w:autoSpaceDN w:val="0"/>
              <w:adjustRightInd w:val="0"/>
              <w:spacing w:after="0" w:line="240" w:lineRule="auto"/>
              <w:ind w:left="110" w:right="105"/>
              <w:jc w:val="center"/>
              <w:rPr>
                <w:rFonts w:ascii="Arial" w:hAnsi="Arial" w:cs="Arial"/>
                <w:sz w:val="24"/>
                <w:szCs w:val="24"/>
              </w:rPr>
            </w:pPr>
            <w:r w:rsidRPr="00584163">
              <w:rPr>
                <w:rFonts w:ascii="Soberana Sans" w:hAnsi="Soberana Sans" w:cs="Soberana Sans"/>
                <w:b/>
                <w:bCs/>
                <w:color w:val="0D0D0D"/>
                <w:sz w:val="16"/>
                <w:szCs w:val="16"/>
              </w:rPr>
              <w:t>Tipo de Respuesta</w:t>
            </w:r>
          </w:p>
        </w:tc>
      </w:tr>
      <w:tr w:rsidR="00422B35" w:rsidRPr="00584163" w14:paraId="562DD52D" w14:textId="77777777">
        <w:tblPrEx>
          <w:tblCellMar>
            <w:top w:w="0" w:type="dxa"/>
            <w:left w:w="0" w:type="dxa"/>
            <w:bottom w:w="0" w:type="dxa"/>
            <w:right w:w="0" w:type="dxa"/>
          </w:tblCellMar>
        </w:tblPrEx>
        <w:trPr>
          <w:gridAfter w:val="5"/>
          <w:wAfter w:w="7137" w:type="dxa"/>
        </w:trPr>
        <w:tc>
          <w:tcPr>
            <w:tcW w:w="1211" w:type="dxa"/>
            <w:gridSpan w:val="2"/>
            <w:tcBorders>
              <w:top w:val="single" w:sz="4" w:space="0" w:color="000000"/>
              <w:left w:val="nil"/>
              <w:bottom w:val="single" w:sz="4" w:space="0" w:color="000000"/>
              <w:right w:val="nil"/>
            </w:tcBorders>
            <w:shd w:val="clear" w:color="auto" w:fill="FFFFFF"/>
          </w:tcPr>
          <w:p w14:paraId="060B20B6" w14:textId="77777777" w:rsidR="00422B35" w:rsidRPr="00584163" w:rsidRDefault="00422B35">
            <w:pPr>
              <w:widowControl w:val="0"/>
              <w:autoSpaceDE w:val="0"/>
              <w:autoSpaceDN w:val="0"/>
              <w:adjustRightInd w:val="0"/>
              <w:spacing w:after="0" w:line="240" w:lineRule="auto"/>
              <w:ind w:left="108" w:right="97"/>
              <w:rPr>
                <w:rFonts w:ascii="Arial" w:hAnsi="Arial" w:cs="Arial"/>
                <w:sz w:val="24"/>
                <w:szCs w:val="24"/>
              </w:rPr>
            </w:pPr>
          </w:p>
        </w:tc>
        <w:tc>
          <w:tcPr>
            <w:tcW w:w="2181" w:type="dxa"/>
            <w:gridSpan w:val="2"/>
            <w:tcBorders>
              <w:top w:val="single" w:sz="4" w:space="0" w:color="000000"/>
              <w:left w:val="nil"/>
              <w:bottom w:val="single" w:sz="4" w:space="0" w:color="000000"/>
              <w:right w:val="nil"/>
            </w:tcBorders>
            <w:shd w:val="clear" w:color="auto" w:fill="FFFFFF"/>
          </w:tcPr>
          <w:p w14:paraId="73F29013" w14:textId="77777777" w:rsidR="00422B35" w:rsidRPr="00584163" w:rsidRDefault="00422B35">
            <w:pPr>
              <w:widowControl w:val="0"/>
              <w:autoSpaceDE w:val="0"/>
              <w:autoSpaceDN w:val="0"/>
              <w:adjustRightInd w:val="0"/>
              <w:spacing w:after="0" w:line="240" w:lineRule="auto"/>
              <w:ind w:left="119" w:right="96"/>
              <w:rPr>
                <w:rFonts w:ascii="Arial" w:hAnsi="Arial" w:cs="Arial"/>
                <w:sz w:val="24"/>
                <w:szCs w:val="24"/>
              </w:rPr>
            </w:pPr>
          </w:p>
        </w:tc>
        <w:tc>
          <w:tcPr>
            <w:tcW w:w="2654" w:type="dxa"/>
            <w:gridSpan w:val="2"/>
            <w:tcBorders>
              <w:top w:val="single" w:sz="4" w:space="0" w:color="000000"/>
              <w:left w:val="nil"/>
              <w:bottom w:val="single" w:sz="4" w:space="0" w:color="000000"/>
              <w:right w:val="nil"/>
            </w:tcBorders>
            <w:shd w:val="clear" w:color="auto" w:fill="FFFFFF"/>
          </w:tcPr>
          <w:p w14:paraId="3B8E1E51" w14:textId="77777777" w:rsidR="00422B35" w:rsidRPr="00584163" w:rsidRDefault="00422B35">
            <w:pPr>
              <w:widowControl w:val="0"/>
              <w:autoSpaceDE w:val="0"/>
              <w:autoSpaceDN w:val="0"/>
              <w:adjustRightInd w:val="0"/>
              <w:spacing w:after="0" w:line="240" w:lineRule="auto"/>
              <w:ind w:left="120" w:right="82"/>
              <w:rPr>
                <w:rFonts w:ascii="Arial" w:hAnsi="Arial" w:cs="Arial"/>
                <w:sz w:val="24"/>
                <w:szCs w:val="24"/>
              </w:rPr>
            </w:pPr>
          </w:p>
        </w:tc>
      </w:tr>
      <w:tr w:rsidR="00422B35" w:rsidRPr="00584163" w14:paraId="48AB6DD2" w14:textId="77777777">
        <w:tblPrEx>
          <w:tblCellMar>
            <w:top w:w="0" w:type="dxa"/>
            <w:left w:w="0" w:type="dxa"/>
            <w:bottom w:w="0" w:type="dxa"/>
            <w:right w:w="0" w:type="dxa"/>
          </w:tblCellMar>
        </w:tblPrEx>
        <w:trPr>
          <w:cantSplit/>
        </w:trPr>
        <w:tc>
          <w:tcPr>
            <w:tcW w:w="1318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75811B0" w14:textId="77777777" w:rsidR="00422B35" w:rsidRPr="00584163" w:rsidRDefault="00422B35">
            <w:pPr>
              <w:keepLines/>
              <w:widowControl w:val="0"/>
              <w:autoSpaceDE w:val="0"/>
              <w:autoSpaceDN w:val="0"/>
              <w:adjustRightInd w:val="0"/>
              <w:spacing w:after="0" w:line="240" w:lineRule="auto"/>
              <w:ind w:left="108" w:right="105"/>
              <w:rPr>
                <w:rFonts w:ascii="Arial" w:hAnsi="Arial" w:cs="Arial"/>
                <w:sz w:val="24"/>
                <w:szCs w:val="24"/>
              </w:rPr>
            </w:pPr>
            <w:r w:rsidRPr="00584163">
              <w:rPr>
                <w:rFonts w:ascii="Soberana Sans" w:hAnsi="Soberana Sans" w:cs="Soberana Sans"/>
                <w:b/>
                <w:bCs/>
                <w:color w:val="0D0D0D"/>
                <w:sz w:val="16"/>
                <w:szCs w:val="16"/>
              </w:rPr>
              <w:t>Consejo Nacional de Ciencia y Tecnología</w:t>
            </w:r>
          </w:p>
        </w:tc>
      </w:tr>
      <w:tr w:rsidR="00422B35" w:rsidRPr="00584163" w14:paraId="2BD2C398"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3A0E5CE"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9D0BD7"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DC289F"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0F3CCB"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9C1A33"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4A60A4B"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0E5AB14"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5E0CAD9"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r w:rsidR="00422B35" w:rsidRPr="00584163" w14:paraId="414CAF34" w14:textId="77777777">
        <w:tblPrEx>
          <w:tblCellMar>
            <w:top w:w="0" w:type="dxa"/>
            <w:left w:w="0" w:type="dxa"/>
            <w:bottom w:w="0" w:type="dxa"/>
            <w:right w:w="0" w:type="dxa"/>
          </w:tblCellMar>
        </w:tblPrEx>
        <w:trPr>
          <w:cantSplit/>
        </w:trPr>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FA6731D" w14:textId="77777777" w:rsidR="00422B35" w:rsidRPr="00584163" w:rsidRDefault="00422B35">
            <w:pPr>
              <w:keepLines/>
              <w:widowControl w:val="0"/>
              <w:autoSpaceDE w:val="0"/>
              <w:autoSpaceDN w:val="0"/>
              <w:adjustRightInd w:val="0"/>
              <w:spacing w:after="0" w:line="240" w:lineRule="auto"/>
              <w:ind w:left="108" w:right="96"/>
              <w:rPr>
                <w:rFonts w:ascii="Arial" w:hAnsi="Arial" w:cs="Arial"/>
                <w:sz w:val="24"/>
                <w:szCs w:val="24"/>
              </w:rPr>
            </w:pPr>
            <w:r w:rsidRPr="00584163">
              <w:rPr>
                <w:rFonts w:ascii="Soberana Sans" w:hAnsi="Soberana Sans" w:cs="Soberana Sans"/>
                <w:color w:val="0D0D0D"/>
                <w:sz w:val="16"/>
                <w:szCs w:val="16"/>
              </w:rPr>
              <w:t>38</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9AF1A8" w14:textId="77777777" w:rsidR="00422B35" w:rsidRPr="00584163" w:rsidRDefault="00422B35">
            <w:pPr>
              <w:keepLines/>
              <w:widowControl w:val="0"/>
              <w:autoSpaceDE w:val="0"/>
              <w:autoSpaceDN w:val="0"/>
              <w:adjustRightInd w:val="0"/>
              <w:spacing w:after="0" w:line="240" w:lineRule="auto"/>
              <w:ind w:left="120" w:right="87"/>
              <w:rPr>
                <w:rFonts w:ascii="Arial" w:hAnsi="Arial" w:cs="Arial"/>
                <w:sz w:val="24"/>
                <w:szCs w:val="24"/>
              </w:rPr>
            </w:pPr>
            <w:r w:rsidRPr="00584163">
              <w:rPr>
                <w:rFonts w:ascii="Soberana Sans" w:hAnsi="Soberana Sans" w:cs="Soberana Sans"/>
                <w:color w:val="0D0D0D"/>
                <w:sz w:val="16"/>
                <w:szCs w:val="16"/>
              </w:rPr>
              <w:t>El Colegio de la Frontera Sur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3596DE" w14:textId="77777777" w:rsidR="00422B35" w:rsidRPr="00584163" w:rsidRDefault="00422B35">
            <w:pPr>
              <w:keepLines/>
              <w:widowControl w:val="0"/>
              <w:autoSpaceDE w:val="0"/>
              <w:autoSpaceDN w:val="0"/>
              <w:adjustRightInd w:val="0"/>
              <w:spacing w:after="0" w:line="240" w:lineRule="auto"/>
              <w:ind w:left="109" w:right="106"/>
              <w:jc w:val="center"/>
              <w:rPr>
                <w:rFonts w:ascii="Arial" w:hAnsi="Arial" w:cs="Arial"/>
                <w:sz w:val="24"/>
                <w:szCs w:val="24"/>
              </w:rPr>
            </w:pPr>
            <w:r w:rsidRPr="00584163">
              <w:rPr>
                <w:rFonts w:ascii="Soberana Sans" w:hAnsi="Soberana Sans" w:cs="Soberana Sans"/>
                <w:color w:val="0D0D0D"/>
                <w:sz w:val="16"/>
                <w:szCs w:val="16"/>
              </w:rPr>
              <w:t>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E99E83" w14:textId="77777777" w:rsidR="00422B35" w:rsidRPr="00584163" w:rsidRDefault="00422B35">
            <w:pPr>
              <w:keepLines/>
              <w:widowControl w:val="0"/>
              <w:autoSpaceDE w:val="0"/>
              <w:autoSpaceDN w:val="0"/>
              <w:adjustRightInd w:val="0"/>
              <w:spacing w:after="0" w:line="240" w:lineRule="auto"/>
              <w:ind w:left="110" w:right="104"/>
              <w:jc w:val="center"/>
              <w:rPr>
                <w:rFonts w:ascii="Arial" w:hAnsi="Arial" w:cs="Arial"/>
                <w:sz w:val="24"/>
                <w:szCs w:val="24"/>
              </w:rPr>
            </w:pPr>
            <w:r w:rsidRPr="00584163">
              <w:rPr>
                <w:rFonts w:ascii="Soberana Sans" w:hAnsi="Soberana Sans" w:cs="Soberana Sans"/>
                <w:color w:val="0D0D0D"/>
                <w:sz w:val="16"/>
                <w:szCs w:val="16"/>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72D597" w14:textId="77777777" w:rsidR="00422B35" w:rsidRPr="00584163" w:rsidRDefault="00422B35">
            <w:pPr>
              <w:keepLines/>
              <w:widowControl w:val="0"/>
              <w:autoSpaceDE w:val="0"/>
              <w:autoSpaceDN w:val="0"/>
              <w:adjustRightInd w:val="0"/>
              <w:spacing w:after="0" w:line="240" w:lineRule="auto"/>
              <w:ind w:left="112" w:right="103"/>
              <w:jc w:val="center"/>
              <w:rPr>
                <w:rFonts w:ascii="Soberana Sans" w:hAnsi="Soberana Sans" w:cs="Soberana Sans"/>
                <w:color w:val="0D0D0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978DF12" w14:textId="77777777" w:rsidR="00422B35" w:rsidRPr="00584163" w:rsidRDefault="00422B35">
            <w:pPr>
              <w:keepLines/>
              <w:widowControl w:val="0"/>
              <w:autoSpaceDE w:val="0"/>
              <w:autoSpaceDN w:val="0"/>
              <w:adjustRightInd w:val="0"/>
              <w:spacing w:after="0" w:line="240" w:lineRule="auto"/>
              <w:ind w:left="113" w:right="102"/>
              <w:jc w:val="center"/>
              <w:rPr>
                <w:rFonts w:ascii="Soberana Sans" w:hAnsi="Soberana Sans" w:cs="Soberana Sans"/>
                <w:color w:val="0D0D0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D126784" w14:textId="77777777" w:rsidR="00422B35" w:rsidRPr="00584163" w:rsidRDefault="00422B35">
            <w:pPr>
              <w:keepLines/>
              <w:widowControl w:val="0"/>
              <w:autoSpaceDE w:val="0"/>
              <w:autoSpaceDN w:val="0"/>
              <w:adjustRightInd w:val="0"/>
              <w:spacing w:after="0" w:line="240" w:lineRule="auto"/>
              <w:ind w:left="114" w:right="86"/>
              <w:jc w:val="right"/>
              <w:rPr>
                <w:rFonts w:ascii="Arial" w:hAnsi="Arial" w:cs="Arial"/>
                <w:sz w:val="24"/>
                <w:szCs w:val="24"/>
              </w:rPr>
            </w:pPr>
            <w:r w:rsidRPr="00584163">
              <w:rPr>
                <w:rFonts w:ascii="Soberana Sans" w:hAnsi="Soberana Sans" w:cs="Soberana Sans"/>
                <w:color w:val="0D0D0D"/>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61A12B6" w14:textId="77777777" w:rsidR="00422B35" w:rsidRPr="00584163" w:rsidRDefault="00422B35">
            <w:pPr>
              <w:keepLines/>
              <w:widowControl w:val="0"/>
              <w:autoSpaceDE w:val="0"/>
              <w:autoSpaceDN w:val="0"/>
              <w:adjustRightInd w:val="0"/>
              <w:spacing w:after="0" w:line="240" w:lineRule="auto"/>
              <w:ind w:left="110" w:right="105"/>
              <w:jc w:val="right"/>
              <w:rPr>
                <w:rFonts w:ascii="Arial" w:hAnsi="Arial" w:cs="Arial"/>
                <w:sz w:val="24"/>
                <w:szCs w:val="24"/>
              </w:rPr>
            </w:pPr>
            <w:r w:rsidRPr="00584163">
              <w:rPr>
                <w:rFonts w:ascii="Soberana Sans" w:hAnsi="Soberana Sans" w:cs="Soberana Sans"/>
                <w:color w:val="0D0D0D"/>
                <w:sz w:val="16"/>
                <w:szCs w:val="16"/>
              </w:rPr>
              <w:t xml:space="preserve">Se reporta valor </w:t>
            </w:r>
          </w:p>
        </w:tc>
      </w:tr>
    </w:tbl>
    <w:p w14:paraId="35EA24A0"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rPr>
        <w:t xml:space="preserve">  </w:t>
      </w:r>
    </w:p>
    <w:p w14:paraId="728BD395" w14:textId="77777777" w:rsidR="00422B35" w:rsidRDefault="00422B35">
      <w:pPr>
        <w:widowControl w:val="0"/>
        <w:autoSpaceDE w:val="0"/>
        <w:autoSpaceDN w:val="0"/>
        <w:adjustRightInd w:val="0"/>
        <w:spacing w:after="0" w:line="276" w:lineRule="auto"/>
        <w:ind w:left="116" w:right="118"/>
        <w:rPr>
          <w:rFonts w:ascii="Arial" w:hAnsi="Arial" w:cs="Arial"/>
          <w:sz w:val="24"/>
          <w:szCs w:val="24"/>
        </w:rPr>
      </w:pPr>
      <w:r>
        <w:rPr>
          <w:rFonts w:ascii="Soberana Sans" w:hAnsi="Soberana Sans" w:cs="Soberana Sans"/>
          <w:color w:val="0D0D0D"/>
          <w:sz w:val="16"/>
          <w:szCs w:val="16"/>
        </w:rPr>
        <w:t xml:space="preserve"> </w:t>
      </w:r>
      <w:bookmarkStart w:id="0" w:name="page_total_master0"/>
      <w:bookmarkStart w:id="1" w:name="page_total"/>
      <w:bookmarkEnd w:id="0"/>
      <w:bookmarkEnd w:id="1"/>
    </w:p>
    <w:sectPr w:rsidR="00422B35">
      <w:headerReference w:type="even" r:id="rId7"/>
      <w:headerReference w:type="default" r:id="rId8"/>
      <w:footerReference w:type="even" r:id="rId9"/>
      <w:footerReference w:type="default" r:id="rId10"/>
      <w:pgSz w:w="15840" w:h="12240" w:orient="landscape"/>
      <w:pgMar w:top="1680" w:right="1300" w:bottom="1680" w:left="116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F9A3" w14:textId="77777777" w:rsidR="00584163" w:rsidRDefault="00584163">
      <w:pPr>
        <w:spacing w:after="0" w:line="240" w:lineRule="auto"/>
      </w:pPr>
      <w:r>
        <w:separator/>
      </w:r>
    </w:p>
  </w:endnote>
  <w:endnote w:type="continuationSeparator" w:id="0">
    <w:p w14:paraId="4D937E42" w14:textId="77777777" w:rsidR="00584163" w:rsidRDefault="0058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berana Titular">
    <w:altName w:val="Calibri"/>
    <w:panose1 w:val="00000000000000000000"/>
    <w:charset w:val="00"/>
    <w:family w:val="auto"/>
    <w:notTrueType/>
    <w:pitch w:val="default"/>
    <w:sig w:usb0="00000003" w:usb1="00000000" w:usb2="00000000" w:usb3="00000000" w:csb0="00000001" w:csb1="00000000"/>
  </w:font>
  <w:font w:name="Soberana 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627F"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ascii="Arial" w:hAnsi="Arial" w:cs="Arial"/>
        <w:sz w:val="24"/>
        <w:szCs w:val="24"/>
      </w:rPr>
    </w:pPr>
    <w:r>
      <w:rPr>
        <w:rFonts w:ascii="Soberana Sans" w:hAnsi="Soberana Sans" w:cs="Soberana Sans"/>
        <w:color w:val="000000"/>
        <w:sz w:val="20"/>
        <w:szCs w:val="20"/>
      </w:rPr>
      <w:pgNum/>
    </w:r>
  </w:p>
  <w:p w14:paraId="49716E7D"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01D9"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ascii="Arial" w:hAnsi="Arial" w:cs="Arial"/>
        <w:sz w:val="24"/>
        <w:szCs w:val="24"/>
      </w:rPr>
    </w:pPr>
    <w:r>
      <w:rPr>
        <w:rFonts w:ascii="Soberana Sans" w:hAnsi="Soberana Sans" w:cs="Soberana Sans"/>
        <w:color w:val="000000"/>
        <w:sz w:val="20"/>
        <w:szCs w:val="20"/>
      </w:rPr>
      <w:pgNum/>
    </w:r>
  </w:p>
  <w:p w14:paraId="03A592FD"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FA94" w14:textId="77777777" w:rsidR="00584163" w:rsidRDefault="00584163">
      <w:pPr>
        <w:spacing w:after="0" w:line="240" w:lineRule="auto"/>
      </w:pPr>
      <w:r>
        <w:separator/>
      </w:r>
    </w:p>
  </w:footnote>
  <w:footnote w:type="continuationSeparator" w:id="0">
    <w:p w14:paraId="25E7C5F8" w14:textId="77777777" w:rsidR="00584163" w:rsidRDefault="0058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6" w:type="dxa"/>
      <w:tblLayout w:type="fixed"/>
      <w:tblCellMar>
        <w:left w:w="0" w:type="dxa"/>
        <w:right w:w="0" w:type="dxa"/>
      </w:tblCellMar>
      <w:tblLook w:val="0000" w:firstRow="0" w:lastRow="0" w:firstColumn="0" w:lastColumn="0" w:noHBand="0" w:noVBand="0"/>
    </w:tblPr>
    <w:tblGrid>
      <w:gridCol w:w="4419"/>
      <w:gridCol w:w="4419"/>
      <w:gridCol w:w="4416"/>
    </w:tblGrid>
    <w:tr w:rsidR="00422B35" w:rsidRPr="00584163" w14:paraId="73AAE839" w14:textId="77777777">
      <w:tblPrEx>
        <w:tblCellMar>
          <w:top w:w="0" w:type="dxa"/>
          <w:left w:w="0" w:type="dxa"/>
          <w:bottom w:w="0" w:type="dxa"/>
          <w:right w:w="0" w:type="dxa"/>
        </w:tblCellMar>
      </w:tblPrEx>
      <w:tc>
        <w:tcPr>
          <w:tcW w:w="4419" w:type="dxa"/>
          <w:tcBorders>
            <w:top w:val="nil"/>
            <w:left w:val="nil"/>
            <w:bottom w:val="nil"/>
            <w:right w:val="nil"/>
          </w:tcBorders>
          <w:shd w:val="clear" w:color="auto" w:fill="FFFFFF"/>
        </w:tcPr>
        <w:p w14:paraId="15B118F9" w14:textId="77777777" w:rsidR="00422B35" w:rsidRPr="00584163" w:rsidRDefault="00422B35">
          <w:pPr>
            <w:widowControl w:val="0"/>
            <w:tabs>
              <w:tab w:val="center" w:pos="4527"/>
              <w:tab w:val="right" w:pos="8946"/>
            </w:tabs>
            <w:autoSpaceDE w:val="0"/>
            <w:autoSpaceDN w:val="0"/>
            <w:adjustRightInd w:val="0"/>
            <w:spacing w:after="0" w:line="240" w:lineRule="auto"/>
            <w:ind w:left="108" w:right="89"/>
            <w:rPr>
              <w:rFonts w:ascii="Arial" w:hAnsi="Arial" w:cs="Arial"/>
              <w:sz w:val="24"/>
              <w:szCs w:val="24"/>
            </w:rPr>
          </w:pPr>
          <w:r w:rsidRPr="00584163">
            <w:rPr>
              <w:rFonts w:ascii="Arial" w:hAnsi="Arial" w:cs="Arial"/>
              <w:sz w:val="24"/>
              <w:szCs w:val="24"/>
            </w:rPr>
            <w:pict w14:anchorId="22EE2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75pt;height:25.5pt">
                <v:imagedata r:id="rId1" o:title=""/>
              </v:shape>
            </w:pict>
          </w:r>
        </w:p>
        <w:p w14:paraId="4617CB11" w14:textId="77777777" w:rsidR="00422B35" w:rsidRPr="00584163" w:rsidRDefault="00422B35">
          <w:pPr>
            <w:widowControl w:val="0"/>
            <w:tabs>
              <w:tab w:val="center" w:pos="4527"/>
              <w:tab w:val="right" w:pos="8946"/>
            </w:tabs>
            <w:autoSpaceDE w:val="0"/>
            <w:autoSpaceDN w:val="0"/>
            <w:adjustRightInd w:val="0"/>
            <w:spacing w:after="0" w:line="240" w:lineRule="auto"/>
            <w:ind w:left="108" w:right="89"/>
            <w:rPr>
              <w:rFonts w:ascii="Arial" w:hAnsi="Arial" w:cs="Arial"/>
              <w:sz w:val="24"/>
              <w:szCs w:val="24"/>
            </w:rPr>
          </w:pPr>
        </w:p>
      </w:tc>
      <w:tc>
        <w:tcPr>
          <w:tcW w:w="4419" w:type="dxa"/>
          <w:tcBorders>
            <w:top w:val="nil"/>
            <w:left w:val="nil"/>
            <w:bottom w:val="nil"/>
            <w:right w:val="nil"/>
          </w:tcBorders>
          <w:shd w:val="clear" w:color="auto" w:fill="FFFFFF"/>
        </w:tcPr>
        <w:p w14:paraId="19D63760" w14:textId="77777777" w:rsidR="00422B35" w:rsidRPr="00584163" w:rsidRDefault="00422B35">
          <w:pPr>
            <w:widowControl w:val="0"/>
            <w:autoSpaceDE w:val="0"/>
            <w:autoSpaceDN w:val="0"/>
            <w:adjustRightInd w:val="0"/>
            <w:spacing w:after="0" w:line="240" w:lineRule="auto"/>
            <w:ind w:left="127" w:right="70"/>
            <w:rPr>
              <w:rFonts w:ascii="Arial" w:hAnsi="Arial" w:cs="Arial"/>
              <w:sz w:val="24"/>
              <w:szCs w:val="24"/>
            </w:rPr>
          </w:pPr>
        </w:p>
      </w:tc>
      <w:tc>
        <w:tcPr>
          <w:tcW w:w="4416" w:type="dxa"/>
          <w:tcBorders>
            <w:top w:val="nil"/>
            <w:left w:val="nil"/>
            <w:bottom w:val="nil"/>
            <w:right w:val="nil"/>
          </w:tcBorders>
          <w:shd w:val="clear" w:color="auto" w:fill="FFFFFF"/>
        </w:tcPr>
        <w:p w14:paraId="4A171C71" w14:textId="77777777" w:rsidR="00422B35" w:rsidRPr="00584163" w:rsidRDefault="00422B35">
          <w:pPr>
            <w:widowControl w:val="0"/>
            <w:autoSpaceDE w:val="0"/>
            <w:autoSpaceDN w:val="0"/>
            <w:adjustRightInd w:val="0"/>
            <w:spacing w:after="0" w:line="240" w:lineRule="auto"/>
            <w:ind w:left="126" w:right="74"/>
            <w:rPr>
              <w:rFonts w:ascii="Arial" w:hAnsi="Arial" w:cs="Arial"/>
              <w:sz w:val="24"/>
              <w:szCs w:val="24"/>
            </w:rPr>
          </w:pPr>
        </w:p>
      </w:tc>
    </w:tr>
  </w:tbl>
  <w:p w14:paraId="7E9BD65A"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ascii="Arial" w:hAnsi="Arial" w:cs="Arial"/>
        <w:sz w:val="24"/>
        <w:szCs w:val="24"/>
      </w:rPr>
    </w:pPr>
    <w:r>
      <w:rPr>
        <w:rFonts w:ascii="Arial" w:hAnsi="Arial" w:cs="Arial"/>
        <w:sz w:val="24"/>
        <w:szCs w:val="24"/>
      </w:rPr>
      <w:pict w14:anchorId="257BFFC0">
        <v:shape id="_x0000_i1028" type="#_x0000_t75" style="width:648.75pt;height:16.5pt">
          <v:imagedata r:id="rId2" o:title=""/>
        </v:shape>
      </w:pict>
    </w:r>
  </w:p>
  <w:p w14:paraId="3B7B4071" w14:textId="77777777" w:rsidR="00422B35" w:rsidRDefault="00422B35">
    <w:pPr>
      <w:widowControl w:val="0"/>
      <w:tabs>
        <w:tab w:val="center" w:pos="4527"/>
        <w:tab w:val="right" w:pos="8946"/>
      </w:tabs>
      <w:autoSpaceDE w:val="0"/>
      <w:autoSpaceDN w:val="0"/>
      <w:adjustRightInd w:val="0"/>
      <w:spacing w:after="0" w:line="240" w:lineRule="auto"/>
      <w:ind w:left="116" w:right="118"/>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6" w:type="dxa"/>
      <w:tblLayout w:type="fixed"/>
      <w:tblCellMar>
        <w:left w:w="0" w:type="dxa"/>
        <w:right w:w="0" w:type="dxa"/>
      </w:tblCellMar>
      <w:tblLook w:val="0000" w:firstRow="0" w:lastRow="0" w:firstColumn="0" w:lastColumn="0" w:noHBand="0" w:noVBand="0"/>
    </w:tblPr>
    <w:tblGrid>
      <w:gridCol w:w="4419"/>
      <w:gridCol w:w="4419"/>
      <w:gridCol w:w="4416"/>
    </w:tblGrid>
    <w:tr w:rsidR="00422B35" w:rsidRPr="00584163" w14:paraId="1BA050E1" w14:textId="77777777">
      <w:tblPrEx>
        <w:tblCellMar>
          <w:top w:w="0" w:type="dxa"/>
          <w:left w:w="0" w:type="dxa"/>
          <w:bottom w:w="0" w:type="dxa"/>
          <w:right w:w="0" w:type="dxa"/>
        </w:tblCellMar>
      </w:tblPrEx>
      <w:tc>
        <w:tcPr>
          <w:tcW w:w="4419" w:type="dxa"/>
          <w:tcBorders>
            <w:top w:val="nil"/>
            <w:left w:val="nil"/>
            <w:bottom w:val="nil"/>
            <w:right w:val="nil"/>
          </w:tcBorders>
          <w:shd w:val="clear" w:color="auto" w:fill="FFFFFF"/>
        </w:tcPr>
        <w:p w14:paraId="5409153D" w14:textId="77777777" w:rsidR="00422B35" w:rsidRPr="00584163" w:rsidRDefault="00422B35">
          <w:pPr>
            <w:widowControl w:val="0"/>
            <w:tabs>
              <w:tab w:val="center" w:pos="4527"/>
              <w:tab w:val="right" w:pos="8946"/>
            </w:tabs>
            <w:autoSpaceDE w:val="0"/>
            <w:autoSpaceDN w:val="0"/>
            <w:adjustRightInd w:val="0"/>
            <w:spacing w:after="0" w:line="240" w:lineRule="auto"/>
            <w:ind w:left="108" w:right="89"/>
            <w:rPr>
              <w:rFonts w:ascii="Arial" w:hAnsi="Arial" w:cs="Arial"/>
              <w:sz w:val="24"/>
              <w:szCs w:val="24"/>
            </w:rPr>
          </w:pPr>
        </w:p>
        <w:p w14:paraId="7B80AAFD" w14:textId="77777777" w:rsidR="00422B35" w:rsidRPr="00584163" w:rsidRDefault="00422B35">
          <w:pPr>
            <w:widowControl w:val="0"/>
            <w:tabs>
              <w:tab w:val="center" w:pos="4527"/>
              <w:tab w:val="right" w:pos="8946"/>
            </w:tabs>
            <w:autoSpaceDE w:val="0"/>
            <w:autoSpaceDN w:val="0"/>
            <w:adjustRightInd w:val="0"/>
            <w:spacing w:after="0" w:line="240" w:lineRule="auto"/>
            <w:ind w:left="108" w:right="89"/>
            <w:rPr>
              <w:rFonts w:ascii="Arial" w:hAnsi="Arial" w:cs="Arial"/>
              <w:sz w:val="24"/>
              <w:szCs w:val="24"/>
            </w:rPr>
          </w:pPr>
          <w:r w:rsidRPr="00584163">
            <w:rPr>
              <w:rFonts w:ascii="Soberana Titular" w:hAnsi="Soberana Titular" w:cs="Soberana Titular"/>
              <w:color w:val="000000"/>
              <w:sz w:val="20"/>
              <w:szCs w:val="20"/>
            </w:rPr>
            <w:t>Segundo Trimestre de 2020</w:t>
          </w:r>
        </w:p>
        <w:p w14:paraId="122C96FC" w14:textId="77777777" w:rsidR="00422B35" w:rsidRPr="00584163" w:rsidRDefault="00422B35">
          <w:pPr>
            <w:widowControl w:val="0"/>
            <w:tabs>
              <w:tab w:val="center" w:pos="4527"/>
              <w:tab w:val="right" w:pos="8946"/>
            </w:tabs>
            <w:autoSpaceDE w:val="0"/>
            <w:autoSpaceDN w:val="0"/>
            <w:adjustRightInd w:val="0"/>
            <w:spacing w:after="0" w:line="240" w:lineRule="auto"/>
            <w:ind w:left="108" w:right="89"/>
            <w:rPr>
              <w:rFonts w:ascii="Arial" w:hAnsi="Arial" w:cs="Arial"/>
              <w:sz w:val="24"/>
              <w:szCs w:val="24"/>
            </w:rPr>
          </w:pPr>
        </w:p>
      </w:tc>
      <w:tc>
        <w:tcPr>
          <w:tcW w:w="4419" w:type="dxa"/>
          <w:tcBorders>
            <w:top w:val="nil"/>
            <w:left w:val="nil"/>
            <w:bottom w:val="nil"/>
            <w:right w:val="nil"/>
          </w:tcBorders>
          <w:shd w:val="clear" w:color="auto" w:fill="FFFFFF"/>
        </w:tcPr>
        <w:p w14:paraId="53A90AC0" w14:textId="77777777" w:rsidR="00422B35" w:rsidRPr="00584163" w:rsidRDefault="00422B35">
          <w:pPr>
            <w:widowControl w:val="0"/>
            <w:autoSpaceDE w:val="0"/>
            <w:autoSpaceDN w:val="0"/>
            <w:adjustRightInd w:val="0"/>
            <w:spacing w:after="0" w:line="240" w:lineRule="auto"/>
            <w:ind w:left="127" w:right="70"/>
            <w:rPr>
              <w:rFonts w:ascii="Arial" w:hAnsi="Arial" w:cs="Arial"/>
              <w:sz w:val="24"/>
              <w:szCs w:val="24"/>
            </w:rPr>
          </w:pPr>
        </w:p>
      </w:tc>
      <w:tc>
        <w:tcPr>
          <w:tcW w:w="4416" w:type="dxa"/>
          <w:tcBorders>
            <w:top w:val="nil"/>
            <w:left w:val="nil"/>
            <w:bottom w:val="nil"/>
            <w:right w:val="nil"/>
          </w:tcBorders>
          <w:shd w:val="clear" w:color="auto" w:fill="FFFFFF"/>
        </w:tcPr>
        <w:p w14:paraId="170E535A" w14:textId="77777777" w:rsidR="00422B35" w:rsidRPr="00584163" w:rsidRDefault="00422B35">
          <w:pPr>
            <w:widowControl w:val="0"/>
            <w:tabs>
              <w:tab w:val="center" w:pos="4527"/>
              <w:tab w:val="right" w:pos="8946"/>
            </w:tabs>
            <w:autoSpaceDE w:val="0"/>
            <w:autoSpaceDN w:val="0"/>
            <w:adjustRightInd w:val="0"/>
            <w:spacing w:after="0" w:line="240" w:lineRule="auto"/>
            <w:ind w:left="126" w:right="74"/>
            <w:jc w:val="center"/>
            <w:rPr>
              <w:rFonts w:ascii="Arial" w:hAnsi="Arial" w:cs="Arial"/>
              <w:sz w:val="24"/>
              <w:szCs w:val="24"/>
            </w:rPr>
          </w:pPr>
          <w:r w:rsidRPr="00584163">
            <w:rPr>
              <w:rFonts w:ascii="Soberana Titular" w:hAnsi="Soberana Titular" w:cs="Soberana Titular"/>
              <w:color w:val="000000"/>
              <w:sz w:val="20"/>
              <w:szCs w:val="20"/>
            </w:rPr>
            <w:t>Informes sobre la Situación Económica, las Finanzas Públicas y la Deuda Pública</w:t>
          </w:r>
        </w:p>
      </w:tc>
    </w:tr>
  </w:tbl>
  <w:p w14:paraId="704B8F84" w14:textId="77777777" w:rsidR="00422B35" w:rsidRDefault="00422B35">
    <w:pPr>
      <w:widowControl w:val="0"/>
      <w:tabs>
        <w:tab w:val="center" w:pos="4527"/>
        <w:tab w:val="right" w:pos="8946"/>
      </w:tabs>
      <w:autoSpaceDE w:val="0"/>
      <w:autoSpaceDN w:val="0"/>
      <w:adjustRightInd w:val="0"/>
      <w:spacing w:after="0" w:line="240" w:lineRule="auto"/>
      <w:ind w:left="-26" w:right="118"/>
      <w:rPr>
        <w:rFonts w:ascii="Arial" w:hAnsi="Arial" w:cs="Arial"/>
        <w:sz w:val="24"/>
        <w:szCs w:val="24"/>
      </w:rPr>
    </w:pPr>
    <w:r>
      <w:rPr>
        <w:rFonts w:ascii="Arial" w:hAnsi="Arial" w:cs="Arial"/>
        <w:sz w:val="24"/>
        <w:szCs w:val="24"/>
      </w:rPr>
      <w:pict w14:anchorId="210F3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3.5pt;height:17.25pt">
          <v:imagedata r:id="rId1" o:title=""/>
        </v:shape>
      </w:pict>
    </w:r>
  </w:p>
  <w:p w14:paraId="1DCDBB9B" w14:textId="77777777" w:rsidR="00422B35" w:rsidRDefault="00422B35">
    <w:pPr>
      <w:widowControl w:val="0"/>
      <w:tabs>
        <w:tab w:val="center" w:pos="4527"/>
        <w:tab w:val="right" w:pos="8946"/>
      </w:tabs>
      <w:autoSpaceDE w:val="0"/>
      <w:autoSpaceDN w:val="0"/>
      <w:adjustRightInd w:val="0"/>
      <w:spacing w:after="0" w:line="240" w:lineRule="auto"/>
      <w:ind w:left="-26" w:right="118"/>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F83"/>
    <w:multiLevelType w:val="multilevel"/>
    <w:tmpl w:val="0000001F"/>
    <w:lvl w:ilvl="0">
      <w:start w:val="1"/>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194E0071"/>
    <w:multiLevelType w:val="multilevel"/>
    <w:tmpl w:val="0000000B"/>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Arial" w:hAnsi="Aria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 w15:restartNumberingAfterBreak="0">
    <w:nsid w:val="2B7731BA"/>
    <w:multiLevelType w:val="multilevel"/>
    <w:tmpl w:val="00000001"/>
    <w:lvl w:ilvl="0">
      <w:start w:val="3"/>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2E094088"/>
    <w:multiLevelType w:val="multilevel"/>
    <w:tmpl w:val="0000003D"/>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Arial" w:hAnsi="Aria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Arial" w:hAnsi="Aria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5" w15:restartNumberingAfterBreak="0">
    <w:nsid w:val="33254FF0"/>
    <w:multiLevelType w:val="multilevel"/>
    <w:tmpl w:val="00000033"/>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6" w15:restartNumberingAfterBreak="0">
    <w:nsid w:val="6EBC04D6"/>
    <w:multiLevelType w:val="multilevel"/>
    <w:tmpl w:val="00000015"/>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oNotTrackMoves/>
  <w:defaultTabStop w:val="700"/>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7FD"/>
    <w:rsid w:val="00250805"/>
    <w:rsid w:val="00422B35"/>
    <w:rsid w:val="00584163"/>
    <w:rsid w:val="00E84DF0"/>
    <w:rsid w:val="00EA2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64EBB"/>
  <w14:defaultImageDpi w14:val="0"/>
  <w15:docId w15:val="{C74A370A-3E42-4294-8EC3-A885F75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9699</Characters>
  <Application>Microsoft Office Word</Application>
  <DocSecurity>0</DocSecurity>
  <Lines>80</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Marie Claude Brunel Manse</dc:creator>
  <cp:keywords/>
  <dc:description>Generated by Oracle BI Publisher 10.1.3.4.1</dc:description>
  <cp:lastModifiedBy>Marie Claude Brunel Manse</cp:lastModifiedBy>
  <cp:revision>2</cp:revision>
  <dcterms:created xsi:type="dcterms:W3CDTF">2020-07-21T17:38:00Z</dcterms:created>
  <dcterms:modified xsi:type="dcterms:W3CDTF">2020-07-21T17:38:00Z</dcterms:modified>
</cp:coreProperties>
</file>