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618E" w14:textId="35FC9EFC" w:rsidR="004F0CA8" w:rsidRDefault="00080986" w:rsidP="00080986">
      <w:pPr>
        <w:jc w:val="both"/>
        <w:rPr>
          <w:rFonts w:ascii="Montserrat" w:hAnsi="Montserrat"/>
          <w:b/>
          <w:bCs/>
          <w:sz w:val="28"/>
          <w:szCs w:val="28"/>
        </w:rPr>
      </w:pPr>
      <w:r w:rsidRPr="00080986">
        <w:rPr>
          <w:rFonts w:ascii="Montserrat" w:hAnsi="Montserrat"/>
          <w:b/>
          <w:bCs/>
          <w:sz w:val="28"/>
          <w:szCs w:val="28"/>
        </w:rPr>
        <w:t>XIII. Seguimiento al Programa Nacional de Combate a la Corrupción y la Impunidad, y de Mejora de Gestión Pública 2019-2024</w:t>
      </w:r>
    </w:p>
    <w:p w14:paraId="376BEB1C" w14:textId="7A0C4302" w:rsidR="00080986" w:rsidRDefault="00080986" w:rsidP="00692ACE">
      <w:pPr>
        <w:spacing w:line="276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</w:rPr>
        <w:t>A parti</w:t>
      </w:r>
      <w:r w:rsidR="00297CC3">
        <w:rPr>
          <w:rFonts w:ascii="Montserrat" w:hAnsi="Montserrat"/>
        </w:rPr>
        <w:t>r</w:t>
      </w:r>
      <w:r>
        <w:rPr>
          <w:rFonts w:ascii="Montserrat" w:hAnsi="Montserrat"/>
        </w:rPr>
        <w:t xml:space="preserve"> de</w:t>
      </w:r>
      <w:r w:rsidR="00297CC3">
        <w:rPr>
          <w:rFonts w:ascii="Montserrat" w:hAnsi="Montserrat"/>
        </w:rPr>
        <w:t xml:space="preserve"> la publicación del </w:t>
      </w:r>
      <w:r w:rsidR="00297CC3" w:rsidRPr="00EE1C3C">
        <w:rPr>
          <w:rFonts w:ascii="Montserrat" w:hAnsi="Montserrat"/>
          <w:i/>
          <w:iCs/>
        </w:rPr>
        <w:t>Programa Nacional de Combate a la Corrupción y a la Impunidad, y de Mejora de la Gestión Pública</w:t>
      </w:r>
      <w:r w:rsidR="0001100C" w:rsidRPr="00EE1C3C">
        <w:rPr>
          <w:rFonts w:ascii="Montserrat" w:hAnsi="Montserrat"/>
          <w:i/>
          <w:iCs/>
        </w:rPr>
        <w:t xml:space="preserve"> 2019-2024</w:t>
      </w:r>
      <w:r w:rsidR="0001100C">
        <w:rPr>
          <w:rFonts w:ascii="Montserrat" w:hAnsi="Montserrat"/>
        </w:rPr>
        <w:t xml:space="preserve">, el 30 de agosto de 2019, se estableció el compromiso para ECOSUR de llevar a cabo 47 acciones: </w:t>
      </w:r>
      <w:r w:rsidR="0001100C" w:rsidRPr="00215368">
        <w:rPr>
          <w:rFonts w:ascii="Montserrat" w:hAnsi="Montserrat"/>
          <w:color w:val="000000" w:themeColor="text1"/>
        </w:rPr>
        <w:t xml:space="preserve">8 del </w:t>
      </w:r>
      <w:r w:rsidR="0001100C">
        <w:rPr>
          <w:rFonts w:ascii="Montserrat" w:hAnsi="Montserrat"/>
          <w:color w:val="000000" w:themeColor="text1"/>
        </w:rPr>
        <w:t>objetivo 1 Combate a</w:t>
      </w:r>
      <w:r w:rsidR="0001100C" w:rsidRPr="00215368">
        <w:rPr>
          <w:rFonts w:ascii="Montserrat" w:hAnsi="Montserrat"/>
          <w:color w:val="000000" w:themeColor="text1"/>
        </w:rPr>
        <w:t xml:space="preserve"> la corrupción; 10 del </w:t>
      </w:r>
      <w:r w:rsidR="0001100C">
        <w:rPr>
          <w:rFonts w:ascii="Montserrat" w:hAnsi="Montserrat"/>
          <w:color w:val="000000" w:themeColor="text1"/>
        </w:rPr>
        <w:t xml:space="preserve">objetivo 2 </w:t>
      </w:r>
      <w:r w:rsidR="00AA2EC8">
        <w:rPr>
          <w:rFonts w:ascii="Montserrat" w:hAnsi="Montserrat"/>
          <w:color w:val="000000" w:themeColor="text1"/>
        </w:rPr>
        <w:t>Combate</w:t>
      </w:r>
      <w:r w:rsidR="0001100C">
        <w:rPr>
          <w:rFonts w:ascii="Montserrat" w:hAnsi="Montserrat"/>
          <w:color w:val="000000" w:themeColor="text1"/>
        </w:rPr>
        <w:t xml:space="preserve"> impunidad</w:t>
      </w:r>
      <w:r w:rsidR="0001100C" w:rsidRPr="00215368">
        <w:rPr>
          <w:rFonts w:ascii="Montserrat" w:hAnsi="Montserrat"/>
          <w:color w:val="000000" w:themeColor="text1"/>
        </w:rPr>
        <w:t xml:space="preserve">; 12 del </w:t>
      </w:r>
      <w:r w:rsidR="0001100C">
        <w:rPr>
          <w:rFonts w:ascii="Montserrat" w:hAnsi="Montserrat"/>
          <w:color w:val="000000" w:themeColor="text1"/>
        </w:rPr>
        <w:t>objetivo 3</w:t>
      </w:r>
      <w:r w:rsidR="0001100C" w:rsidRPr="00215368">
        <w:rPr>
          <w:rFonts w:ascii="Montserrat" w:hAnsi="Montserrat"/>
          <w:color w:val="000000" w:themeColor="text1"/>
        </w:rPr>
        <w:t xml:space="preserve"> </w:t>
      </w:r>
      <w:r w:rsidR="0001100C">
        <w:rPr>
          <w:rFonts w:ascii="Montserrat" w:hAnsi="Montserrat"/>
          <w:color w:val="000000" w:themeColor="text1"/>
        </w:rPr>
        <w:t>M</w:t>
      </w:r>
      <w:r w:rsidR="0001100C" w:rsidRPr="00215368">
        <w:rPr>
          <w:rFonts w:ascii="Montserrat" w:hAnsi="Montserrat"/>
          <w:color w:val="000000" w:themeColor="text1"/>
        </w:rPr>
        <w:t xml:space="preserve">ejora de la gestión pública; 10 del </w:t>
      </w:r>
      <w:r w:rsidR="0001100C">
        <w:rPr>
          <w:rFonts w:ascii="Montserrat" w:hAnsi="Montserrat"/>
          <w:color w:val="000000" w:themeColor="text1"/>
        </w:rPr>
        <w:t>objetivo 4</w:t>
      </w:r>
      <w:r w:rsidR="0001100C" w:rsidRPr="00215368">
        <w:rPr>
          <w:rFonts w:ascii="Montserrat" w:hAnsi="Montserrat"/>
          <w:color w:val="000000" w:themeColor="text1"/>
        </w:rPr>
        <w:t xml:space="preserve"> </w:t>
      </w:r>
      <w:r w:rsidR="0001100C">
        <w:rPr>
          <w:rFonts w:ascii="Montserrat" w:hAnsi="Montserrat"/>
          <w:color w:val="000000" w:themeColor="text1"/>
        </w:rPr>
        <w:t xml:space="preserve">Programa de </w:t>
      </w:r>
      <w:r w:rsidR="0001100C" w:rsidRPr="00215368">
        <w:rPr>
          <w:rFonts w:ascii="Montserrat" w:hAnsi="Montserrat"/>
          <w:color w:val="000000" w:themeColor="text1"/>
        </w:rPr>
        <w:t xml:space="preserve">recursos humanos y 7 del </w:t>
      </w:r>
      <w:r w:rsidR="0001100C">
        <w:rPr>
          <w:rFonts w:ascii="Montserrat" w:hAnsi="Montserrat"/>
          <w:color w:val="000000" w:themeColor="text1"/>
        </w:rPr>
        <w:t>objetivo 5</w:t>
      </w:r>
      <w:r w:rsidR="0001100C" w:rsidRPr="00215368">
        <w:rPr>
          <w:rFonts w:ascii="Montserrat" w:hAnsi="Montserrat"/>
          <w:color w:val="000000" w:themeColor="text1"/>
        </w:rPr>
        <w:t xml:space="preserve"> </w:t>
      </w:r>
      <w:r w:rsidR="0001100C">
        <w:rPr>
          <w:rFonts w:ascii="Montserrat" w:hAnsi="Montserrat"/>
          <w:color w:val="000000" w:themeColor="text1"/>
        </w:rPr>
        <w:t>U</w:t>
      </w:r>
      <w:r w:rsidR="0001100C" w:rsidRPr="00215368">
        <w:rPr>
          <w:rFonts w:ascii="Montserrat" w:hAnsi="Montserrat"/>
          <w:color w:val="000000" w:themeColor="text1"/>
        </w:rPr>
        <w:t xml:space="preserve">so de bienes. Igualmente, </w:t>
      </w:r>
      <w:r w:rsidR="0001100C">
        <w:rPr>
          <w:rFonts w:ascii="Montserrat" w:hAnsi="Montserrat"/>
          <w:color w:val="000000" w:themeColor="text1"/>
        </w:rPr>
        <w:t>se</w:t>
      </w:r>
      <w:r w:rsidR="0001100C" w:rsidRPr="00215368">
        <w:rPr>
          <w:rFonts w:ascii="Montserrat" w:hAnsi="Montserrat"/>
          <w:color w:val="000000" w:themeColor="text1"/>
        </w:rPr>
        <w:t xml:space="preserve"> debe reportar </w:t>
      </w:r>
      <w:r w:rsidR="00692ACE">
        <w:rPr>
          <w:rFonts w:ascii="Montserrat" w:hAnsi="Montserrat"/>
          <w:color w:val="000000" w:themeColor="text1"/>
        </w:rPr>
        <w:t xml:space="preserve">un total de </w:t>
      </w:r>
      <w:r w:rsidR="0001100C" w:rsidRPr="00215368">
        <w:rPr>
          <w:rFonts w:ascii="Montserrat" w:hAnsi="Montserrat"/>
          <w:color w:val="000000" w:themeColor="text1"/>
        </w:rPr>
        <w:t>11 indicadores</w:t>
      </w:r>
      <w:r w:rsidR="0001100C">
        <w:rPr>
          <w:rFonts w:ascii="Montserrat" w:hAnsi="Montserrat"/>
          <w:color w:val="000000" w:themeColor="text1"/>
        </w:rPr>
        <w:t>, pero solo 8 aplican para este periodo.</w:t>
      </w:r>
    </w:p>
    <w:p w14:paraId="1C20D460" w14:textId="32802B5C" w:rsidR="00D12C48" w:rsidRDefault="00692ACE" w:rsidP="00692ACE">
      <w:pPr>
        <w:spacing w:line="276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la primera quincena de julio </w:t>
      </w:r>
      <w:r w:rsidR="009C5CEA">
        <w:rPr>
          <w:rFonts w:ascii="Montserrat" w:hAnsi="Montserrat"/>
          <w:color w:val="000000" w:themeColor="text1"/>
        </w:rPr>
        <w:t xml:space="preserve">la institución informó </w:t>
      </w:r>
      <w:r w:rsidR="00EE1C3C">
        <w:rPr>
          <w:rFonts w:ascii="Montserrat" w:hAnsi="Montserrat"/>
          <w:color w:val="000000" w:themeColor="text1"/>
        </w:rPr>
        <w:t xml:space="preserve">en tiempo y forma </w:t>
      </w:r>
      <w:r w:rsidR="009C5CEA">
        <w:rPr>
          <w:rFonts w:ascii="Montserrat" w:hAnsi="Montserrat"/>
          <w:color w:val="000000" w:themeColor="text1"/>
        </w:rPr>
        <w:t xml:space="preserve">de </w:t>
      </w:r>
      <w:r>
        <w:rPr>
          <w:rFonts w:ascii="Montserrat" w:hAnsi="Montserrat"/>
          <w:color w:val="000000" w:themeColor="text1"/>
        </w:rPr>
        <w:t xml:space="preserve">los </w:t>
      </w:r>
      <w:r w:rsidR="009C5CEA">
        <w:rPr>
          <w:rFonts w:ascii="Montserrat" w:hAnsi="Montserrat"/>
          <w:color w:val="000000" w:themeColor="text1"/>
        </w:rPr>
        <w:t>avances</w:t>
      </w:r>
      <w:r>
        <w:rPr>
          <w:rFonts w:ascii="Montserrat" w:hAnsi="Montserrat"/>
          <w:color w:val="000000" w:themeColor="text1"/>
        </w:rPr>
        <w:t xml:space="preserve"> del segundo trimestre 2020</w:t>
      </w:r>
      <w:r w:rsidR="00EE1C3C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</w:t>
      </w:r>
      <w:r w:rsidR="009C5CEA">
        <w:rPr>
          <w:rFonts w:ascii="Montserrat" w:hAnsi="Montserrat"/>
          <w:color w:val="000000" w:themeColor="text1"/>
        </w:rPr>
        <w:t>a través</w:t>
      </w:r>
      <w:r>
        <w:rPr>
          <w:rFonts w:ascii="Montserrat" w:hAnsi="Montserrat"/>
          <w:color w:val="000000" w:themeColor="text1"/>
        </w:rPr>
        <w:t xml:space="preserve"> </w:t>
      </w:r>
      <w:r w:rsidR="009C5CEA">
        <w:rPr>
          <w:rFonts w:ascii="Montserrat" w:hAnsi="Montserrat"/>
          <w:color w:val="000000" w:themeColor="text1"/>
        </w:rPr>
        <w:t>d</w:t>
      </w:r>
      <w:r w:rsidRPr="00215368">
        <w:rPr>
          <w:rFonts w:ascii="Montserrat" w:hAnsi="Montserrat"/>
          <w:color w:val="000000" w:themeColor="text1"/>
        </w:rPr>
        <w:t xml:space="preserve">el sistema habilitado en el </w:t>
      </w:r>
      <w:r>
        <w:rPr>
          <w:rFonts w:ascii="Montserrat" w:hAnsi="Montserrat"/>
          <w:color w:val="000000" w:themeColor="text1"/>
        </w:rPr>
        <w:t>P</w:t>
      </w:r>
      <w:r w:rsidRPr="00215368">
        <w:rPr>
          <w:rFonts w:ascii="Montserrat" w:hAnsi="Montserrat"/>
          <w:color w:val="000000" w:themeColor="text1"/>
        </w:rPr>
        <w:t>ortal de Aplicaciones de la SHCP</w:t>
      </w:r>
      <w:r>
        <w:rPr>
          <w:rFonts w:ascii="Montserrat" w:hAnsi="Montserrat"/>
          <w:color w:val="000000" w:themeColor="text1"/>
        </w:rPr>
        <w:t>. Se anexa copia del reporte</w:t>
      </w:r>
      <w:r w:rsidR="00EE1C3C">
        <w:rPr>
          <w:rFonts w:ascii="Montserrat" w:hAnsi="Montserrat"/>
          <w:color w:val="000000" w:themeColor="text1"/>
        </w:rPr>
        <w:t>. Destacan los siguientes elementos</w:t>
      </w:r>
      <w:r w:rsidR="00201A51">
        <w:rPr>
          <w:rFonts w:ascii="Montserrat" w:hAnsi="Montserrat"/>
          <w:color w:val="000000" w:themeColor="text1"/>
        </w:rPr>
        <w:t>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1560"/>
        <w:gridCol w:w="1603"/>
      </w:tblGrid>
      <w:tr w:rsidR="00C657EC" w:rsidRPr="00C657EC" w14:paraId="03CA7683" w14:textId="77777777" w:rsidTr="00D12C48">
        <w:trPr>
          <w:trHeight w:val="1229"/>
        </w:trPr>
        <w:tc>
          <w:tcPr>
            <w:tcW w:w="1843" w:type="dxa"/>
          </w:tcPr>
          <w:p w14:paraId="3A09E451" w14:textId="3D5BC92C" w:rsidR="00C657EC" w:rsidRPr="00C657EC" w:rsidRDefault="00692ACE" w:rsidP="009368CE">
            <w:pPr>
              <w:spacing w:after="0" w:line="276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color w:val="000000" w:themeColor="text1"/>
              </w:rPr>
              <w:t xml:space="preserve"> </w:t>
            </w:r>
            <w:r w:rsidR="00C657EC" w:rsidRPr="00C657EC">
              <w:rPr>
                <w:rFonts w:ascii="Montserrat" w:hAnsi="Montserrat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2888C760" w14:textId="311E3AA3" w:rsidR="00C657EC" w:rsidRPr="00C657EC" w:rsidRDefault="00C657EC" w:rsidP="009368CE">
            <w:pPr>
              <w:spacing w:after="0" w:line="276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C657EC">
              <w:rPr>
                <w:rFonts w:ascii="Montserrat" w:hAnsi="Montserrat"/>
                <w:b/>
                <w:bCs/>
                <w:sz w:val="20"/>
                <w:szCs w:val="20"/>
              </w:rPr>
              <w:t>Compromisos con acciones realizadas</w:t>
            </w:r>
          </w:p>
        </w:tc>
        <w:tc>
          <w:tcPr>
            <w:tcW w:w="1984" w:type="dxa"/>
          </w:tcPr>
          <w:p w14:paraId="22558073" w14:textId="735A729B" w:rsidR="00C657EC" w:rsidRPr="00C657EC" w:rsidRDefault="00C657EC" w:rsidP="009368CE">
            <w:pPr>
              <w:spacing w:after="0" w:line="276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C657EC">
              <w:rPr>
                <w:rFonts w:ascii="Montserrat" w:hAnsi="Montserrat"/>
                <w:b/>
                <w:bCs/>
                <w:sz w:val="20"/>
                <w:szCs w:val="20"/>
              </w:rPr>
              <w:t>Compromisos sin avances o no aplicables en el trimestre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452D75B2" w14:textId="651DC337" w:rsidR="00C657EC" w:rsidRPr="00C657EC" w:rsidRDefault="00C657EC" w:rsidP="009368CE">
            <w:pPr>
              <w:spacing w:after="0" w:line="276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C657EC">
              <w:rPr>
                <w:rFonts w:ascii="Montserrat" w:hAnsi="Montserrat"/>
                <w:b/>
                <w:bCs/>
                <w:sz w:val="20"/>
                <w:szCs w:val="20"/>
              </w:rPr>
              <w:t>Indicador con reporte</w:t>
            </w:r>
          </w:p>
        </w:tc>
        <w:tc>
          <w:tcPr>
            <w:tcW w:w="1603" w:type="dxa"/>
          </w:tcPr>
          <w:p w14:paraId="7C091729" w14:textId="68D12900" w:rsidR="00C657EC" w:rsidRPr="00C657EC" w:rsidRDefault="00C657EC" w:rsidP="009368CE">
            <w:pPr>
              <w:spacing w:after="0" w:line="276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C657EC">
              <w:rPr>
                <w:rFonts w:ascii="Montserrat" w:hAnsi="Montserrat"/>
                <w:b/>
                <w:bCs/>
                <w:sz w:val="20"/>
                <w:szCs w:val="20"/>
              </w:rPr>
              <w:t>Indicador sin información a reportar</w:t>
            </w:r>
          </w:p>
        </w:tc>
      </w:tr>
      <w:tr w:rsidR="00C657EC" w:rsidRPr="00C657EC" w14:paraId="49B109D3" w14:textId="77777777" w:rsidTr="00D12C48">
        <w:tc>
          <w:tcPr>
            <w:tcW w:w="1843" w:type="dxa"/>
          </w:tcPr>
          <w:p w14:paraId="09312163" w14:textId="190F5356" w:rsidR="00AA2EC8" w:rsidRPr="00C657EC" w:rsidRDefault="00AA2EC8" w:rsidP="009368CE">
            <w:pPr>
              <w:spacing w:after="0"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Combate Corrupción (CC)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3CDA835E" w14:textId="26531B40" w:rsidR="00C657EC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5EE9407" w14:textId="1E222982" w:rsidR="00C657EC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4CB19314" w14:textId="5D970AC0" w:rsidR="00C657EC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14:paraId="53644B7E" w14:textId="1F9F234A" w:rsidR="00C657EC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C657EC" w:rsidRPr="00C657EC" w14:paraId="12C070EF" w14:textId="77777777" w:rsidTr="00D12C48">
        <w:tc>
          <w:tcPr>
            <w:tcW w:w="1843" w:type="dxa"/>
          </w:tcPr>
          <w:p w14:paraId="27D2B075" w14:textId="24BF9288" w:rsidR="00C657EC" w:rsidRPr="00C657EC" w:rsidRDefault="00AA2EC8" w:rsidP="009368CE">
            <w:pPr>
              <w:spacing w:after="0"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Combate Impunidad (CI)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58C832F2" w14:textId="3719972A" w:rsidR="00C657EC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35761D5" w14:textId="6BC8F275" w:rsidR="00C657EC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1A50DBC8" w14:textId="170A684B" w:rsidR="00C657EC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14:paraId="2B0C525D" w14:textId="054FCD68" w:rsidR="00C657EC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C657EC" w:rsidRPr="00C657EC" w14:paraId="16C48BC4" w14:textId="77777777" w:rsidTr="00D12C48">
        <w:tc>
          <w:tcPr>
            <w:tcW w:w="1843" w:type="dxa"/>
          </w:tcPr>
          <w:p w14:paraId="7BB94EAC" w14:textId="6131E12C" w:rsidR="00C657EC" w:rsidRPr="00C657EC" w:rsidRDefault="00AA2EC8" w:rsidP="009368CE">
            <w:pPr>
              <w:spacing w:after="0" w:line="276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Mejora Gestión Pública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0F0C1220" w14:textId="5987E0F3" w:rsidR="00C657EC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D200FFE" w14:textId="4CCDA1F1" w:rsidR="00C657EC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32127038" w14:textId="74174D6C" w:rsidR="00C657EC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</w:p>
        </w:tc>
        <w:tc>
          <w:tcPr>
            <w:tcW w:w="1603" w:type="dxa"/>
          </w:tcPr>
          <w:p w14:paraId="0867F23C" w14:textId="3D022298" w:rsidR="00C657EC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</w:p>
        </w:tc>
      </w:tr>
      <w:tr w:rsidR="00C657EC" w:rsidRPr="00C657EC" w14:paraId="10C5B21D" w14:textId="77777777" w:rsidTr="00D12C48">
        <w:tc>
          <w:tcPr>
            <w:tcW w:w="1843" w:type="dxa"/>
          </w:tcPr>
          <w:p w14:paraId="0D3298E0" w14:textId="74A94AC4" w:rsidR="00C657EC" w:rsidRPr="00C657EC" w:rsidRDefault="00AA2EC8" w:rsidP="009368CE">
            <w:pPr>
              <w:spacing w:after="0"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Recursos Humanos (PRH)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691F8577" w14:textId="15F5EC86" w:rsidR="00C657EC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95019FE" w14:textId="167F9937" w:rsidR="00C657EC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11021778" w14:textId="38257FDD" w:rsidR="00C657EC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14:paraId="184B032E" w14:textId="11A7138F" w:rsidR="00C657EC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201A51" w:rsidRPr="00C657EC" w14:paraId="58E4F1F3" w14:textId="77777777" w:rsidTr="00D12C48">
        <w:tc>
          <w:tcPr>
            <w:tcW w:w="1843" w:type="dxa"/>
          </w:tcPr>
          <w:p w14:paraId="4CD6FAF7" w14:textId="16ADDACB" w:rsidR="00201A51" w:rsidRPr="00C657EC" w:rsidRDefault="00AA2EC8" w:rsidP="009368CE">
            <w:pPr>
              <w:spacing w:after="0"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Uso de Bienes (UB)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6E66B3B0" w14:textId="51A6195C" w:rsidR="00201A51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75085E98" w14:textId="6C27B20A" w:rsidR="00201A51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5D21F091" w14:textId="49E61EBF" w:rsidR="00201A51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14:paraId="7A16D48C" w14:textId="1C365BA2" w:rsidR="00201A51" w:rsidRPr="00C657EC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</w:p>
        </w:tc>
      </w:tr>
      <w:tr w:rsidR="00201A51" w:rsidRPr="00AA2EC8" w14:paraId="16E2D779" w14:textId="77777777" w:rsidTr="00D12C48">
        <w:tc>
          <w:tcPr>
            <w:tcW w:w="1843" w:type="dxa"/>
          </w:tcPr>
          <w:p w14:paraId="77D3FFAA" w14:textId="37B3497F" w:rsidR="00201A51" w:rsidRPr="00AA2EC8" w:rsidRDefault="00AA2EC8" w:rsidP="009368CE">
            <w:pPr>
              <w:spacing w:after="0" w:line="276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A2EC8">
              <w:rPr>
                <w:rFonts w:ascii="Montserrat" w:hAnsi="Montserra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79E438FE" w14:textId="7867584C" w:rsidR="00201A51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35</w:t>
            </w:r>
            <w:r w:rsidR="007B6F97">
              <w:rPr>
                <w:rFonts w:ascii="Montserrat" w:hAnsi="Montserrat"/>
                <w:b/>
                <w:bCs/>
                <w:sz w:val="20"/>
                <w:szCs w:val="20"/>
              </w:rPr>
              <w:t>/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47</w:t>
            </w:r>
          </w:p>
          <w:p w14:paraId="1B042461" w14:textId="20B869C7" w:rsidR="00C872A2" w:rsidRPr="00AA2EC8" w:rsidRDefault="00C872A2" w:rsidP="009368CE">
            <w:pPr>
              <w:spacing w:after="0" w:line="276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74.5%</w:t>
            </w:r>
          </w:p>
        </w:tc>
        <w:tc>
          <w:tcPr>
            <w:tcW w:w="1984" w:type="dxa"/>
          </w:tcPr>
          <w:p w14:paraId="777EEA62" w14:textId="56FC27D3" w:rsidR="00201A51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12</w:t>
            </w:r>
            <w:r w:rsidR="007B6F97">
              <w:rPr>
                <w:rFonts w:ascii="Montserrat" w:hAnsi="Montserrat"/>
                <w:b/>
                <w:bCs/>
                <w:sz w:val="20"/>
                <w:szCs w:val="20"/>
              </w:rPr>
              <w:t>/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47</w:t>
            </w:r>
          </w:p>
          <w:p w14:paraId="08F46E64" w14:textId="50F63BA9" w:rsidR="00C872A2" w:rsidRPr="00AA2EC8" w:rsidRDefault="00C872A2" w:rsidP="009368CE">
            <w:pPr>
              <w:spacing w:after="0" w:line="276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25.5%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76DAF709" w14:textId="19D6DC3C" w:rsidR="00201A51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5</w:t>
            </w:r>
            <w:r w:rsidR="007B6F97">
              <w:rPr>
                <w:rFonts w:ascii="Montserrat" w:hAnsi="Montserrat"/>
                <w:b/>
                <w:bCs/>
                <w:sz w:val="20"/>
                <w:szCs w:val="20"/>
              </w:rPr>
              <w:t>/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8</w:t>
            </w:r>
          </w:p>
          <w:p w14:paraId="243B9AF1" w14:textId="25842884" w:rsidR="00C872A2" w:rsidRPr="00AA2EC8" w:rsidRDefault="00C872A2" w:rsidP="009368CE">
            <w:pPr>
              <w:spacing w:after="0" w:line="276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62.5%</w:t>
            </w:r>
          </w:p>
        </w:tc>
        <w:tc>
          <w:tcPr>
            <w:tcW w:w="1603" w:type="dxa"/>
          </w:tcPr>
          <w:p w14:paraId="03D2EC79" w14:textId="6C78B853" w:rsidR="00201A51" w:rsidRDefault="00AA2EC8" w:rsidP="009368CE">
            <w:pPr>
              <w:spacing w:after="0" w:line="276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="007B6F97">
              <w:rPr>
                <w:rFonts w:ascii="Montserrat" w:hAnsi="Montserrat"/>
                <w:b/>
                <w:bCs/>
                <w:sz w:val="20"/>
                <w:szCs w:val="20"/>
              </w:rPr>
              <w:t>/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8</w:t>
            </w:r>
          </w:p>
          <w:p w14:paraId="1DB3D443" w14:textId="1FFE7A5C" w:rsidR="00C872A2" w:rsidRPr="00AA2EC8" w:rsidRDefault="00C872A2" w:rsidP="009368CE">
            <w:pPr>
              <w:spacing w:after="0" w:line="276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27.5%</w:t>
            </w:r>
          </w:p>
        </w:tc>
      </w:tr>
    </w:tbl>
    <w:p w14:paraId="35CA7F86" w14:textId="01C5D8C4" w:rsidR="00C657EC" w:rsidRDefault="00C657EC" w:rsidP="00692ACE">
      <w:pPr>
        <w:spacing w:line="276" w:lineRule="auto"/>
        <w:jc w:val="both"/>
        <w:rPr>
          <w:rFonts w:ascii="Montserrat" w:hAnsi="Montserrat"/>
        </w:rPr>
      </w:pPr>
    </w:p>
    <w:p w14:paraId="1E198D14" w14:textId="3A8BDEED" w:rsidR="00C872A2" w:rsidRDefault="00C872A2" w:rsidP="00692ACE">
      <w:pPr>
        <w:spacing w:line="276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En el segundo trimestre se visualizan avances significativos de </w:t>
      </w:r>
      <w:r w:rsidR="007B6F97">
        <w:rPr>
          <w:rFonts w:ascii="Montserrat" w:hAnsi="Montserrat"/>
        </w:rPr>
        <w:t>ECOSUR en el cumplimiento de</w:t>
      </w:r>
      <w:r w:rsidR="00D12C4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este Programa Nacional, dándose una apropiación institucional liderada por quienes son responsables de las áreas involucradas.</w:t>
      </w:r>
      <w:r w:rsidR="00727D22">
        <w:rPr>
          <w:rFonts w:ascii="Montserrat" w:hAnsi="Montserrat"/>
        </w:rPr>
        <w:t xml:space="preserve"> Prueba de ella son avances en 35 compromisos sobre los 47 y 5 indicadores sobre los 8, lo que representa 74.5% y 62.5% respectivamente, contra 49% (23 compromisos) y 28.6% (2 indicadores sobre 7) al arranque del Programa, en el primer trimestre 2020. Las evidencias de los avances se entregarán en breve al Órgano Interno de Control en ECOSUR.</w:t>
      </w:r>
    </w:p>
    <w:p w14:paraId="3169398F" w14:textId="4C6AF726" w:rsidR="00C872A2" w:rsidRDefault="00727D22" w:rsidP="00692ACE">
      <w:pPr>
        <w:spacing w:line="276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importante informar sobre los compromisos sin avances,</w:t>
      </w:r>
      <w:r w:rsidR="007B6F9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ya que la mayoría no </w:t>
      </w:r>
      <w:r w:rsidR="007B6F97">
        <w:rPr>
          <w:rFonts w:ascii="Montserrat" w:hAnsi="Montserrat"/>
        </w:rPr>
        <w:t>es aplicable</w:t>
      </w:r>
      <w:r>
        <w:rPr>
          <w:rFonts w:ascii="Montserrat" w:hAnsi="Montserrat"/>
        </w:rPr>
        <w:t xml:space="preserve"> en el trimestre. Por ende, no se puede calcular los indicadores correspondientes.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870"/>
        <w:gridCol w:w="3945"/>
        <w:gridCol w:w="4678"/>
      </w:tblGrid>
      <w:tr w:rsidR="005E13F6" w:rsidRPr="001F05E5" w14:paraId="16C2FD50" w14:textId="77777777" w:rsidTr="00D12C48">
        <w:tc>
          <w:tcPr>
            <w:tcW w:w="870" w:type="dxa"/>
          </w:tcPr>
          <w:p w14:paraId="2B8449CD" w14:textId="77777777" w:rsidR="005E13F6" w:rsidRPr="001F05E5" w:rsidRDefault="005E13F6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D101584" w14:textId="7D8BEF01" w:rsidR="005E13F6" w:rsidRPr="007B6F97" w:rsidRDefault="001F05E5" w:rsidP="001F05E5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B6F97">
              <w:rPr>
                <w:rFonts w:ascii="Montserrat" w:hAnsi="Montserrat"/>
                <w:b/>
                <w:bCs/>
                <w:sz w:val="20"/>
                <w:szCs w:val="20"/>
              </w:rPr>
              <w:t xml:space="preserve">Compromisos sin avances </w:t>
            </w:r>
          </w:p>
        </w:tc>
        <w:tc>
          <w:tcPr>
            <w:tcW w:w="4678" w:type="dxa"/>
          </w:tcPr>
          <w:p w14:paraId="3D162CD7" w14:textId="1054F741" w:rsidR="005E13F6" w:rsidRPr="007B6F97" w:rsidRDefault="001F05E5" w:rsidP="001F05E5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B6F97">
              <w:rPr>
                <w:rFonts w:ascii="Montserrat" w:hAnsi="Montserrat"/>
                <w:b/>
                <w:bCs/>
                <w:sz w:val="20"/>
                <w:szCs w:val="20"/>
              </w:rPr>
              <w:t>Justificación</w:t>
            </w:r>
          </w:p>
        </w:tc>
      </w:tr>
      <w:tr w:rsidR="005E13F6" w:rsidRPr="001F05E5" w14:paraId="57F44B5A" w14:textId="77777777" w:rsidTr="00D12C48">
        <w:tc>
          <w:tcPr>
            <w:tcW w:w="870" w:type="dxa"/>
          </w:tcPr>
          <w:p w14:paraId="517CAB4C" w14:textId="32F0CA28" w:rsidR="005E13F6" w:rsidRPr="001F05E5" w:rsidRDefault="001F05E5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CC.2</w:t>
            </w:r>
          </w:p>
        </w:tc>
        <w:tc>
          <w:tcPr>
            <w:tcW w:w="3945" w:type="dxa"/>
          </w:tcPr>
          <w:p w14:paraId="36C45628" w14:textId="11508723" w:rsidR="005E13F6" w:rsidRPr="001F05E5" w:rsidRDefault="001F05E5" w:rsidP="00BF344F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1F05E5">
              <w:rPr>
                <w:rFonts w:ascii="Montserrat" w:hAnsi="Montserrat"/>
                <w:sz w:val="20"/>
                <w:szCs w:val="20"/>
              </w:rPr>
              <w:t>Proponer al Comité de Control y Desempeño Institucional los acuerdos que permitan realizar el seguimiento trimestral de sus programas presupuestarios, a efecto de verificar su administración por resultados para el cumplimiento de metas y objetivos institucionales.</w:t>
            </w:r>
          </w:p>
        </w:tc>
        <w:tc>
          <w:tcPr>
            <w:tcW w:w="4678" w:type="dxa"/>
          </w:tcPr>
          <w:p w14:paraId="310C5F7C" w14:textId="77777777" w:rsidR="005E13F6" w:rsidRDefault="001F05E5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En este trimestre, las variaciones presupuestales entre lo ejercicio y lo programado se debe principalmente a la emergencia sanitaria que no permitió ejercer el presupuesto destinado a trabajo de campo de los proyectos de investigación.</w:t>
            </w:r>
          </w:p>
          <w:p w14:paraId="252A0451" w14:textId="4C00A78B" w:rsidR="001F05E5" w:rsidRPr="001F05E5" w:rsidRDefault="001F05E5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Por la situación extraordinaria, se considera oportuno esperar </w:t>
            </w:r>
            <w:r w:rsidR="00D12C48">
              <w:rPr>
                <w:rFonts w:ascii="Montserrat" w:hAnsi="Montserrat"/>
                <w:sz w:val="20"/>
                <w:szCs w:val="20"/>
              </w:rPr>
              <w:t xml:space="preserve">su regularización antes de </w:t>
            </w:r>
            <w:r>
              <w:rPr>
                <w:rFonts w:ascii="Montserrat" w:hAnsi="Montserrat"/>
                <w:sz w:val="20"/>
                <w:szCs w:val="20"/>
              </w:rPr>
              <w:t>tomar medidas en el COCODI.</w:t>
            </w:r>
          </w:p>
        </w:tc>
      </w:tr>
      <w:tr w:rsidR="005E13F6" w:rsidRPr="001F05E5" w14:paraId="590D7280" w14:textId="77777777" w:rsidTr="00D12C48">
        <w:tc>
          <w:tcPr>
            <w:tcW w:w="870" w:type="dxa"/>
          </w:tcPr>
          <w:p w14:paraId="51FB90D0" w14:textId="03CBC68B" w:rsidR="005E13F6" w:rsidRPr="001F05E5" w:rsidRDefault="001F05E5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CC</w:t>
            </w:r>
            <w:r w:rsidR="002F0FDE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3945" w:type="dxa"/>
          </w:tcPr>
          <w:p w14:paraId="3AEF6297" w14:textId="4AA59A7A" w:rsidR="005E13F6" w:rsidRPr="001F05E5" w:rsidRDefault="001F05E5" w:rsidP="00BF344F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1F05E5">
              <w:rPr>
                <w:rFonts w:ascii="Montserrat" w:hAnsi="Montserrat"/>
                <w:sz w:val="20"/>
                <w:szCs w:val="20"/>
              </w:rPr>
              <w:t>Impulsar la implementación y el seguimiento de los compromisos derivados de Planes de Acción de la Alianza para el Gobierno Abierto que contribuyan al bienestar del pueblo de México.</w:t>
            </w:r>
          </w:p>
        </w:tc>
        <w:tc>
          <w:tcPr>
            <w:tcW w:w="4678" w:type="dxa"/>
          </w:tcPr>
          <w:p w14:paraId="0CA60B55" w14:textId="642CBD7C" w:rsidR="005E13F6" w:rsidRPr="001F05E5" w:rsidRDefault="001F05E5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La Dirección de Gobierno Abierto de la SFP solicita que las instituciones que no han sido llamadas a participar en algún compromiso respondan que este compromiso no es aplicable. Lo que es el caso de ECOSUR.</w:t>
            </w:r>
          </w:p>
        </w:tc>
      </w:tr>
      <w:tr w:rsidR="005E13F6" w:rsidRPr="001F05E5" w14:paraId="73600A5B" w14:textId="77777777" w:rsidTr="00D12C48">
        <w:tc>
          <w:tcPr>
            <w:tcW w:w="870" w:type="dxa"/>
          </w:tcPr>
          <w:p w14:paraId="73EE824C" w14:textId="3B8C668A" w:rsidR="005E13F6" w:rsidRPr="001F05E5" w:rsidRDefault="002F0FDE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CI.4</w:t>
            </w:r>
          </w:p>
        </w:tc>
        <w:tc>
          <w:tcPr>
            <w:tcW w:w="3945" w:type="dxa"/>
          </w:tcPr>
          <w:p w14:paraId="200989BC" w14:textId="7335D5EC" w:rsidR="005E13F6" w:rsidRPr="001F05E5" w:rsidRDefault="002F0FDE" w:rsidP="00BF344F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F0FDE">
              <w:rPr>
                <w:rFonts w:ascii="Montserrat" w:hAnsi="Montserrat"/>
                <w:sz w:val="20"/>
                <w:szCs w:val="20"/>
              </w:rPr>
              <w:t>Brindar capacitación por medio de las gestiones de los Comités de Ética y de Prevención de Conflictos de Intereses, sobre los elementos fundamentales del conflicto de intereses.</w:t>
            </w:r>
          </w:p>
        </w:tc>
        <w:tc>
          <w:tcPr>
            <w:tcW w:w="4678" w:type="dxa"/>
          </w:tcPr>
          <w:p w14:paraId="28F5A8F8" w14:textId="1D8D677D" w:rsidR="005E13F6" w:rsidRPr="001F05E5" w:rsidRDefault="00BF344F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En este primer semestre el CEPCI ha priorizado capacitaciones orientadas a la nueva ética y a la prevención de hostigamiento y acoso sexual. Su plan de trabajo contempla la promoción de este tema entre el 2 de marzo y el 30 de noviembre.</w:t>
            </w:r>
          </w:p>
        </w:tc>
      </w:tr>
      <w:tr w:rsidR="005E13F6" w:rsidRPr="001F05E5" w14:paraId="36FFF4F6" w14:textId="77777777" w:rsidTr="00D12C48">
        <w:tc>
          <w:tcPr>
            <w:tcW w:w="870" w:type="dxa"/>
          </w:tcPr>
          <w:p w14:paraId="467A4436" w14:textId="5A07D5FF" w:rsidR="005E13F6" w:rsidRPr="001F05E5" w:rsidRDefault="00BF344F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CI.6</w:t>
            </w:r>
          </w:p>
        </w:tc>
        <w:tc>
          <w:tcPr>
            <w:tcW w:w="3945" w:type="dxa"/>
          </w:tcPr>
          <w:p w14:paraId="5B97AEE5" w14:textId="6086C93A" w:rsidR="005E13F6" w:rsidRPr="001F05E5" w:rsidRDefault="00BF344F" w:rsidP="00BF344F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BF344F">
              <w:rPr>
                <w:rFonts w:ascii="Montserrat" w:hAnsi="Montserrat"/>
                <w:sz w:val="20"/>
                <w:szCs w:val="20"/>
              </w:rPr>
              <w:t>Difundir materiales de sensibilización sobre el tema de conflictos de intereses por medio de los Comités de Ética y Prevención de Conflictos de Intereses.</w:t>
            </w:r>
          </w:p>
        </w:tc>
        <w:tc>
          <w:tcPr>
            <w:tcW w:w="4678" w:type="dxa"/>
          </w:tcPr>
          <w:p w14:paraId="651D7AE1" w14:textId="1CBDC0C2" w:rsidR="005E13F6" w:rsidRPr="001F05E5" w:rsidRDefault="00BF344F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Véase CI.4</w:t>
            </w:r>
          </w:p>
        </w:tc>
      </w:tr>
      <w:tr w:rsidR="005E13F6" w:rsidRPr="001F05E5" w14:paraId="1A10D423" w14:textId="77777777" w:rsidTr="00D12C48">
        <w:tc>
          <w:tcPr>
            <w:tcW w:w="870" w:type="dxa"/>
          </w:tcPr>
          <w:p w14:paraId="14655870" w14:textId="652373AF" w:rsidR="005E13F6" w:rsidRPr="001F05E5" w:rsidRDefault="00BF344F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>CI.9</w:t>
            </w:r>
          </w:p>
        </w:tc>
        <w:tc>
          <w:tcPr>
            <w:tcW w:w="3945" w:type="dxa"/>
          </w:tcPr>
          <w:p w14:paraId="0EFE76B7" w14:textId="3726FE66" w:rsidR="005E13F6" w:rsidRPr="001F05E5" w:rsidRDefault="00BF344F" w:rsidP="0044209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BF344F">
              <w:rPr>
                <w:rFonts w:ascii="Montserrat" w:hAnsi="Montserrat"/>
                <w:sz w:val="20"/>
                <w:szCs w:val="20"/>
              </w:rPr>
              <w:t>Denunciar o dar vista a la Secretaría de la Función Pública de los actos o hechos presuntamente constitutivos de infracciones a las disposiciones en materia de contrataciones públicas, que cometan los licitantes, proveedores o contratistas.</w:t>
            </w:r>
          </w:p>
        </w:tc>
        <w:tc>
          <w:tcPr>
            <w:tcW w:w="4678" w:type="dxa"/>
          </w:tcPr>
          <w:p w14:paraId="531CFC88" w14:textId="626826FA" w:rsidR="005E13F6" w:rsidRPr="001F05E5" w:rsidRDefault="0044209B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44209B">
              <w:rPr>
                <w:rFonts w:ascii="Montserrat" w:hAnsi="Montserrat"/>
                <w:sz w:val="20"/>
                <w:szCs w:val="20"/>
              </w:rPr>
              <w:t>Durante el segundo trimestre, ECOSUR no ha tomado conocimiento de actos o hechos merecedores de denuncias ante la Secretaría de la Función Pública</w:t>
            </w:r>
            <w:r w:rsidR="00D12C48">
              <w:rPr>
                <w:rFonts w:ascii="Montserrat" w:hAnsi="Montserrat"/>
                <w:sz w:val="20"/>
                <w:szCs w:val="20"/>
              </w:rPr>
              <w:t>.</w:t>
            </w:r>
            <w:r w:rsidRPr="0044209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12C48">
              <w:rPr>
                <w:rFonts w:ascii="Montserrat" w:hAnsi="Montserrat"/>
                <w:sz w:val="20"/>
                <w:szCs w:val="20"/>
              </w:rPr>
              <w:t>P</w:t>
            </w:r>
            <w:r w:rsidRPr="0044209B">
              <w:rPr>
                <w:rFonts w:ascii="Montserrat" w:hAnsi="Montserrat"/>
                <w:sz w:val="20"/>
                <w:szCs w:val="20"/>
              </w:rPr>
              <w:t>or lo tanto</w:t>
            </w:r>
            <w:r w:rsidR="00D12C48">
              <w:rPr>
                <w:rFonts w:ascii="Montserrat" w:hAnsi="Montserrat"/>
                <w:sz w:val="20"/>
                <w:szCs w:val="20"/>
              </w:rPr>
              <w:t>,</w:t>
            </w:r>
            <w:r w:rsidRPr="0044209B">
              <w:rPr>
                <w:rFonts w:ascii="Montserrat" w:hAnsi="Montserrat"/>
                <w:sz w:val="20"/>
                <w:szCs w:val="20"/>
              </w:rPr>
              <w:t xml:space="preserve"> no existe información que reportar.</w:t>
            </w:r>
          </w:p>
        </w:tc>
      </w:tr>
      <w:tr w:rsidR="005E13F6" w:rsidRPr="001F05E5" w14:paraId="0BA2059A" w14:textId="77777777" w:rsidTr="00D12C48">
        <w:tc>
          <w:tcPr>
            <w:tcW w:w="870" w:type="dxa"/>
          </w:tcPr>
          <w:p w14:paraId="12A6F751" w14:textId="38EBF07B" w:rsidR="005E13F6" w:rsidRPr="001F05E5" w:rsidRDefault="00BF344F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CI.10</w:t>
            </w:r>
          </w:p>
        </w:tc>
        <w:tc>
          <w:tcPr>
            <w:tcW w:w="3945" w:type="dxa"/>
          </w:tcPr>
          <w:p w14:paraId="2A6AA589" w14:textId="49154ADC" w:rsidR="005E13F6" w:rsidRPr="001F05E5" w:rsidRDefault="0044209B" w:rsidP="00BF344F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4209B">
              <w:rPr>
                <w:rFonts w:ascii="Montserrat" w:hAnsi="Montserrat"/>
                <w:sz w:val="20"/>
                <w:szCs w:val="20"/>
              </w:rPr>
              <w:t>Remitir a la Secretaría de la Función Pública la documentación comprobatoria de los hechos presumiblemente constitutivos de infracción, dentro de los 15 días naturales a la fecha en que tengan conocimiento de alguna infracción a las disposiciones en materia de contrataciones públicas, conforme a lo establecido en la normatividad aplicable.</w:t>
            </w:r>
          </w:p>
        </w:tc>
        <w:tc>
          <w:tcPr>
            <w:tcW w:w="4678" w:type="dxa"/>
          </w:tcPr>
          <w:p w14:paraId="585D3AB5" w14:textId="44BC806B" w:rsidR="005E13F6" w:rsidRPr="001F05E5" w:rsidRDefault="0044209B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 aplica en este trimestre. Véase CI.9</w:t>
            </w:r>
          </w:p>
        </w:tc>
      </w:tr>
      <w:tr w:rsidR="00BF344F" w:rsidRPr="001F05E5" w14:paraId="3FDE949E" w14:textId="77777777" w:rsidTr="00D12C48">
        <w:tc>
          <w:tcPr>
            <w:tcW w:w="870" w:type="dxa"/>
          </w:tcPr>
          <w:p w14:paraId="336125C7" w14:textId="6A18D680" w:rsidR="00BF344F" w:rsidRDefault="00411440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MGP.6</w:t>
            </w:r>
          </w:p>
        </w:tc>
        <w:tc>
          <w:tcPr>
            <w:tcW w:w="3945" w:type="dxa"/>
          </w:tcPr>
          <w:p w14:paraId="30F3030F" w14:textId="1C758549" w:rsidR="00BF344F" w:rsidRPr="001F05E5" w:rsidRDefault="00411440" w:rsidP="00BF344F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11440">
              <w:rPr>
                <w:rFonts w:ascii="Montserrat" w:hAnsi="Montserrat"/>
                <w:sz w:val="20"/>
                <w:szCs w:val="20"/>
              </w:rPr>
              <w:t>Utilizar la información del desempeño de políticas y programas a fin de promover su orientación al logro de objetivos, mejoras en su diseño, coordinación e instrumentación y el uso eficiente de los recursos.</w:t>
            </w:r>
          </w:p>
        </w:tc>
        <w:tc>
          <w:tcPr>
            <w:tcW w:w="4678" w:type="dxa"/>
          </w:tcPr>
          <w:p w14:paraId="75C92007" w14:textId="65CF21FE" w:rsidR="00BF344F" w:rsidRPr="001F05E5" w:rsidRDefault="00411440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Se programó avanzar en este compromiso en los próximos meses.</w:t>
            </w:r>
          </w:p>
        </w:tc>
      </w:tr>
      <w:tr w:rsidR="00BF344F" w:rsidRPr="001F05E5" w14:paraId="5501D5DF" w14:textId="77777777" w:rsidTr="00D12C48">
        <w:tc>
          <w:tcPr>
            <w:tcW w:w="870" w:type="dxa"/>
          </w:tcPr>
          <w:p w14:paraId="4B112025" w14:textId="417B1593" w:rsidR="00BF344F" w:rsidRDefault="00411440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MGP.7</w:t>
            </w:r>
          </w:p>
        </w:tc>
        <w:tc>
          <w:tcPr>
            <w:tcW w:w="3945" w:type="dxa"/>
          </w:tcPr>
          <w:p w14:paraId="6B0B0DF8" w14:textId="442165EB" w:rsidR="00BF344F" w:rsidRPr="001F05E5" w:rsidRDefault="00411440" w:rsidP="00BF344F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11440">
              <w:rPr>
                <w:rFonts w:ascii="Montserrat" w:hAnsi="Montserrat"/>
                <w:sz w:val="20"/>
                <w:szCs w:val="20"/>
              </w:rPr>
              <w:t>Dar seguimiento a los programas presupuestarios respecto del cumplimiento de sus metas y objetivos en el COCODI.</w:t>
            </w:r>
          </w:p>
        </w:tc>
        <w:tc>
          <w:tcPr>
            <w:tcW w:w="4678" w:type="dxa"/>
          </w:tcPr>
          <w:p w14:paraId="2223DDD4" w14:textId="21979412" w:rsidR="00BF344F" w:rsidRPr="001F05E5" w:rsidRDefault="00411440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 aplica ya que no hay acuerdos en COCODI. Véase CC.2.</w:t>
            </w:r>
          </w:p>
        </w:tc>
      </w:tr>
      <w:tr w:rsidR="00BF344F" w:rsidRPr="001F05E5" w14:paraId="65D79C0D" w14:textId="77777777" w:rsidTr="00D12C48">
        <w:tc>
          <w:tcPr>
            <w:tcW w:w="870" w:type="dxa"/>
          </w:tcPr>
          <w:p w14:paraId="660098CD" w14:textId="14656597" w:rsidR="00BF344F" w:rsidRDefault="00411440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RH.5</w:t>
            </w:r>
          </w:p>
        </w:tc>
        <w:tc>
          <w:tcPr>
            <w:tcW w:w="3945" w:type="dxa"/>
          </w:tcPr>
          <w:p w14:paraId="3FF2D507" w14:textId="0098D8D4" w:rsidR="00BF344F" w:rsidRPr="001F05E5" w:rsidRDefault="002714E9" w:rsidP="00BF344F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714E9">
              <w:rPr>
                <w:rFonts w:ascii="Montserrat" w:hAnsi="Montserrat"/>
                <w:sz w:val="20"/>
                <w:szCs w:val="20"/>
              </w:rPr>
              <w:t>Desarrollar acciones de simplificación y mejora en los procesos sustantivos y las normas internas para contribuir al logro de los objetivos y metas institucionales.</w:t>
            </w:r>
          </w:p>
        </w:tc>
        <w:tc>
          <w:tcPr>
            <w:tcW w:w="4678" w:type="dxa"/>
          </w:tcPr>
          <w:p w14:paraId="61E33E3D" w14:textId="75FB1C7C" w:rsidR="00BF344F" w:rsidRPr="001F05E5" w:rsidRDefault="002714E9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La institución está trabajando la definición de sus procesos. Este compromiso representa una segunda etapa que requiere de</w:t>
            </w:r>
            <w:r w:rsidR="00252D6F">
              <w:rPr>
                <w:rFonts w:ascii="Montserrat" w:hAnsi="Montserrat"/>
                <w:sz w:val="20"/>
                <w:szCs w:val="20"/>
              </w:rPr>
              <w:t xml:space="preserve"> la aprobación de la primera etapa.</w:t>
            </w:r>
          </w:p>
        </w:tc>
      </w:tr>
      <w:tr w:rsidR="00BF344F" w:rsidRPr="001F05E5" w14:paraId="566088FD" w14:textId="77777777" w:rsidTr="00D12C48">
        <w:tc>
          <w:tcPr>
            <w:tcW w:w="870" w:type="dxa"/>
          </w:tcPr>
          <w:p w14:paraId="68FD9B04" w14:textId="06D43D84" w:rsidR="00BF344F" w:rsidRDefault="00252D6F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RH.6</w:t>
            </w:r>
          </w:p>
        </w:tc>
        <w:tc>
          <w:tcPr>
            <w:tcW w:w="3945" w:type="dxa"/>
          </w:tcPr>
          <w:p w14:paraId="6430D552" w14:textId="57CAADCA" w:rsidR="00BF344F" w:rsidRPr="001F05E5" w:rsidRDefault="00252D6F" w:rsidP="00252D6F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52D6F">
              <w:rPr>
                <w:rFonts w:ascii="Montserrat" w:hAnsi="Montserrat"/>
                <w:sz w:val="20"/>
                <w:szCs w:val="20"/>
              </w:rPr>
              <w:t>Realizar el análisis de los procesos que permita la vinculación con su normatividad interna, la eliminación de actividades innecesarias y la incorporación de tecnologías de la información.</w:t>
            </w:r>
          </w:p>
        </w:tc>
        <w:tc>
          <w:tcPr>
            <w:tcW w:w="4678" w:type="dxa"/>
          </w:tcPr>
          <w:p w14:paraId="4074A812" w14:textId="38EDAB94" w:rsidR="00BF344F" w:rsidRPr="001F05E5" w:rsidRDefault="00252D6F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Véase RH.5</w:t>
            </w:r>
          </w:p>
        </w:tc>
      </w:tr>
      <w:tr w:rsidR="00252D6F" w:rsidRPr="001F05E5" w14:paraId="5AE9F345" w14:textId="77777777" w:rsidTr="00D12C48">
        <w:tc>
          <w:tcPr>
            <w:tcW w:w="870" w:type="dxa"/>
          </w:tcPr>
          <w:p w14:paraId="6C907777" w14:textId="629BBA14" w:rsidR="00252D6F" w:rsidRDefault="00252D6F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RH.8</w:t>
            </w:r>
          </w:p>
        </w:tc>
        <w:tc>
          <w:tcPr>
            <w:tcW w:w="3945" w:type="dxa"/>
          </w:tcPr>
          <w:p w14:paraId="7D43F78E" w14:textId="6CDBCE93" w:rsidR="00252D6F" w:rsidRPr="00252D6F" w:rsidRDefault="00252D6F" w:rsidP="00252D6F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52D6F">
              <w:rPr>
                <w:rFonts w:ascii="Montserrat" w:hAnsi="Montserrat"/>
                <w:sz w:val="20"/>
                <w:szCs w:val="20"/>
              </w:rPr>
              <w:t xml:space="preserve">Analizar el impacto de las estructuras orgánicas en el </w:t>
            </w:r>
            <w:r w:rsidRPr="00252D6F">
              <w:rPr>
                <w:rFonts w:ascii="Montserrat" w:hAnsi="Montserrat"/>
                <w:sz w:val="20"/>
                <w:szCs w:val="20"/>
              </w:rPr>
              <w:lastRenderedPageBreak/>
              <w:t>cumplimiento de sus objetivos y resultados institucionales.</w:t>
            </w:r>
          </w:p>
        </w:tc>
        <w:tc>
          <w:tcPr>
            <w:tcW w:w="4678" w:type="dxa"/>
          </w:tcPr>
          <w:p w14:paraId="337CEF02" w14:textId="67D21C3C" w:rsidR="00252D6F" w:rsidRDefault="00252D6F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>A raíz de la emergencia sanitaria, la SFP ha desplazado el cumplimiento de este compromiso hasta el 15 de diciembre.</w:t>
            </w:r>
          </w:p>
        </w:tc>
      </w:tr>
      <w:tr w:rsidR="00252D6F" w:rsidRPr="001F05E5" w14:paraId="1BC4C337" w14:textId="77777777" w:rsidTr="00D12C48">
        <w:tc>
          <w:tcPr>
            <w:tcW w:w="870" w:type="dxa"/>
          </w:tcPr>
          <w:p w14:paraId="1635332B" w14:textId="4E11A800" w:rsidR="00252D6F" w:rsidRDefault="00252D6F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RH.10</w:t>
            </w:r>
          </w:p>
        </w:tc>
        <w:tc>
          <w:tcPr>
            <w:tcW w:w="3945" w:type="dxa"/>
          </w:tcPr>
          <w:p w14:paraId="11F8B744" w14:textId="031CC078" w:rsidR="00252D6F" w:rsidRPr="00252D6F" w:rsidRDefault="00252D6F" w:rsidP="00252D6F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252D6F">
              <w:rPr>
                <w:rFonts w:ascii="Montserrat" w:hAnsi="Montserrat"/>
                <w:sz w:val="20"/>
                <w:szCs w:val="20"/>
              </w:rPr>
              <w:t>Proponer al Comité de Control y Desempeño Institucional los acuerdos que permitan dar cumplimiento a las disposiciones normativas en materia de funciones del servicio público.</w:t>
            </w:r>
          </w:p>
        </w:tc>
        <w:tc>
          <w:tcPr>
            <w:tcW w:w="4678" w:type="dxa"/>
          </w:tcPr>
          <w:p w14:paraId="0D9B597D" w14:textId="11FD3257" w:rsidR="00252D6F" w:rsidRDefault="00252D6F" w:rsidP="001F05E5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La institución está revisando y analizando su Estatuto Orgánico y su Manual General de Organización para su actualización. Este compromiso se realizará una vez obtenida una primera versión de estos documentos.</w:t>
            </w:r>
          </w:p>
        </w:tc>
      </w:tr>
    </w:tbl>
    <w:p w14:paraId="048C60DD" w14:textId="15D8C833" w:rsidR="00727D22" w:rsidRDefault="00727D22" w:rsidP="00692ACE">
      <w:pPr>
        <w:spacing w:line="276" w:lineRule="auto"/>
        <w:jc w:val="both"/>
        <w:rPr>
          <w:rFonts w:ascii="Montserrat" w:hAnsi="Montserrat"/>
        </w:rPr>
      </w:pPr>
    </w:p>
    <w:p w14:paraId="3884F703" w14:textId="258A003B" w:rsidR="008D63AA" w:rsidRDefault="008D63AA" w:rsidP="00692ACE">
      <w:pPr>
        <w:spacing w:line="276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Cabe mencionar que en esta tercera sesión ordinaria de COCODI, se presenta información sobre el inventario actualizado de los bienes inmuebles, para cumplir con el compromiso UB.10 del Programa.</w:t>
      </w:r>
      <w:r w:rsidR="00C71702">
        <w:rPr>
          <w:rFonts w:ascii="Montserrat" w:hAnsi="Montserrat"/>
        </w:rPr>
        <w:t xml:space="preserve"> En el próximo trimestre, la institución buscará avanzar en las áreas de oportunidad existentes.</w:t>
      </w:r>
    </w:p>
    <w:p w14:paraId="2E6300F0" w14:textId="1F0A63D2" w:rsidR="00D12C48" w:rsidRDefault="00D12C48" w:rsidP="00692ACE">
      <w:pPr>
        <w:spacing w:line="276" w:lineRule="auto"/>
        <w:jc w:val="both"/>
        <w:rPr>
          <w:rFonts w:ascii="Montserrat" w:hAnsi="Montserrat"/>
        </w:rPr>
      </w:pPr>
    </w:p>
    <w:p w14:paraId="6CA4442E" w14:textId="77777777" w:rsidR="00D12C48" w:rsidRDefault="00D12C48" w:rsidP="00692ACE">
      <w:pPr>
        <w:spacing w:line="276" w:lineRule="auto"/>
        <w:jc w:val="both"/>
        <w:rPr>
          <w:rFonts w:ascii="Montserrat" w:hAnsi="Montserrat"/>
        </w:rPr>
      </w:pPr>
    </w:p>
    <w:p w14:paraId="3BE71E19" w14:textId="4069345B" w:rsidR="00D12C48" w:rsidRDefault="00D12C48" w:rsidP="00D12C48">
      <w:pPr>
        <w:spacing w:line="276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Responsable de la información,</w:t>
      </w:r>
    </w:p>
    <w:p w14:paraId="5065D08F" w14:textId="6CFED790" w:rsidR="00D12C48" w:rsidRDefault="00D12C48" w:rsidP="00D12C48">
      <w:pPr>
        <w:spacing w:line="276" w:lineRule="auto"/>
        <w:jc w:val="center"/>
        <w:rPr>
          <w:rFonts w:ascii="Montserrat" w:hAnsi="Montserrat"/>
        </w:rPr>
      </w:pPr>
    </w:p>
    <w:p w14:paraId="07A09272" w14:textId="361EDEE1" w:rsidR="00D12C48" w:rsidRDefault="00D12C48" w:rsidP="00D12C48">
      <w:pPr>
        <w:spacing w:line="276" w:lineRule="auto"/>
        <w:jc w:val="center"/>
        <w:rPr>
          <w:rFonts w:ascii="Montserrat" w:hAnsi="Montserrat"/>
        </w:rPr>
      </w:pPr>
    </w:p>
    <w:p w14:paraId="595931CE" w14:textId="57A55076" w:rsidR="00D12C48" w:rsidRDefault="00D12C48" w:rsidP="00D12C48">
      <w:pPr>
        <w:spacing w:after="0" w:line="276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Mtra. Leticia Espinosa Cruz</w:t>
      </w:r>
    </w:p>
    <w:p w14:paraId="7C0CAE95" w14:textId="1D08EF6C" w:rsidR="00D12C48" w:rsidRDefault="00D12C48" w:rsidP="00D12C48">
      <w:pPr>
        <w:spacing w:after="0" w:line="276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Directora de Administración</w:t>
      </w:r>
    </w:p>
    <w:p w14:paraId="7AD5C30B" w14:textId="4AAEBA14" w:rsidR="00D12C48" w:rsidRPr="00080986" w:rsidRDefault="00D12C48" w:rsidP="00D12C48">
      <w:pPr>
        <w:spacing w:after="0" w:line="276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Enlace del PNCCIMGP 2019-2024</w:t>
      </w:r>
    </w:p>
    <w:sectPr w:rsidR="00D12C48" w:rsidRPr="0008098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9F37B" w14:textId="77777777" w:rsidR="008B372C" w:rsidRDefault="008B372C" w:rsidP="004F0CA8">
      <w:pPr>
        <w:spacing w:after="0" w:line="240" w:lineRule="auto"/>
      </w:pPr>
      <w:r>
        <w:separator/>
      </w:r>
    </w:p>
  </w:endnote>
  <w:endnote w:type="continuationSeparator" w:id="0">
    <w:p w14:paraId="7957F548" w14:textId="77777777" w:rsidR="008B372C" w:rsidRDefault="008B372C" w:rsidP="004F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208685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551E4728" w14:textId="77777777" w:rsidR="00D12C48" w:rsidRDefault="00D12C48">
        <w:pPr>
          <w:pStyle w:val="Piedepgina"/>
          <w:jc w:val="center"/>
        </w:pPr>
      </w:p>
      <w:p w14:paraId="6179D8B1" w14:textId="5E5DF21E" w:rsidR="00692ACE" w:rsidRPr="00692ACE" w:rsidRDefault="00692ACE">
        <w:pPr>
          <w:pStyle w:val="Piedepgina"/>
          <w:jc w:val="center"/>
          <w:rPr>
            <w:rFonts w:ascii="Montserrat" w:hAnsi="Montserrat"/>
          </w:rPr>
        </w:pPr>
        <w:r w:rsidRPr="00692ACE">
          <w:rPr>
            <w:rFonts w:ascii="Montserrat" w:hAnsi="Montserrat"/>
          </w:rPr>
          <w:fldChar w:fldCharType="begin"/>
        </w:r>
        <w:r w:rsidRPr="00692ACE">
          <w:rPr>
            <w:rFonts w:ascii="Montserrat" w:hAnsi="Montserrat"/>
          </w:rPr>
          <w:instrText>PAGE   \* MERGEFORMAT</w:instrText>
        </w:r>
        <w:r w:rsidRPr="00692ACE">
          <w:rPr>
            <w:rFonts w:ascii="Montserrat" w:hAnsi="Montserrat"/>
          </w:rPr>
          <w:fldChar w:fldCharType="separate"/>
        </w:r>
        <w:r w:rsidRPr="00692ACE">
          <w:rPr>
            <w:rFonts w:ascii="Montserrat" w:hAnsi="Montserrat"/>
            <w:lang w:val="es-ES"/>
          </w:rPr>
          <w:t>2</w:t>
        </w:r>
        <w:r w:rsidRPr="00692ACE">
          <w:rPr>
            <w:rFonts w:ascii="Montserrat" w:hAnsi="Montserrat"/>
          </w:rPr>
          <w:fldChar w:fldCharType="end"/>
        </w:r>
      </w:p>
    </w:sdtContent>
  </w:sdt>
  <w:p w14:paraId="554D6492" w14:textId="77777777" w:rsidR="004F0CA8" w:rsidRDefault="004F0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F9D34" w14:textId="77777777" w:rsidR="008B372C" w:rsidRDefault="008B372C" w:rsidP="004F0CA8">
      <w:pPr>
        <w:spacing w:after="0" w:line="240" w:lineRule="auto"/>
      </w:pPr>
      <w:r>
        <w:separator/>
      </w:r>
    </w:p>
  </w:footnote>
  <w:footnote w:type="continuationSeparator" w:id="0">
    <w:p w14:paraId="14D620A1" w14:textId="77777777" w:rsidR="008B372C" w:rsidRDefault="008B372C" w:rsidP="004F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D070" w14:textId="2F320407" w:rsidR="004F0CA8" w:rsidRDefault="004F0CA8">
    <w:pPr>
      <w:pStyle w:val="Encabezado"/>
    </w:pPr>
    <w:r>
      <w:rPr>
        <w:noProof/>
      </w:rPr>
      <w:drawing>
        <wp:inline distT="0" distB="0" distL="0" distR="0" wp14:anchorId="0B254E05" wp14:editId="5CA7DF65">
          <wp:extent cx="5614670" cy="142684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3B81"/>
    <w:multiLevelType w:val="hybridMultilevel"/>
    <w:tmpl w:val="F384CD6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C90904"/>
    <w:multiLevelType w:val="hybridMultilevel"/>
    <w:tmpl w:val="B92080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2972"/>
    <w:multiLevelType w:val="hybridMultilevel"/>
    <w:tmpl w:val="9ADA06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1E34"/>
    <w:multiLevelType w:val="hybridMultilevel"/>
    <w:tmpl w:val="B92080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7C6C"/>
    <w:multiLevelType w:val="hybridMultilevel"/>
    <w:tmpl w:val="36CCA134"/>
    <w:lvl w:ilvl="0" w:tplc="08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FA"/>
    <w:rsid w:val="0001100C"/>
    <w:rsid w:val="00023BB8"/>
    <w:rsid w:val="00055326"/>
    <w:rsid w:val="000704BE"/>
    <w:rsid w:val="00080986"/>
    <w:rsid w:val="000D222C"/>
    <w:rsid w:val="000D31FA"/>
    <w:rsid w:val="000E5FF8"/>
    <w:rsid w:val="00102EB7"/>
    <w:rsid w:val="00126032"/>
    <w:rsid w:val="00134DCA"/>
    <w:rsid w:val="00152240"/>
    <w:rsid w:val="00167E7C"/>
    <w:rsid w:val="001B395A"/>
    <w:rsid w:val="001F05E5"/>
    <w:rsid w:val="001F5E02"/>
    <w:rsid w:val="00201A51"/>
    <w:rsid w:val="0020637F"/>
    <w:rsid w:val="0022007A"/>
    <w:rsid w:val="00252D6F"/>
    <w:rsid w:val="00267CE5"/>
    <w:rsid w:val="002714E9"/>
    <w:rsid w:val="00276AB3"/>
    <w:rsid w:val="00297CC3"/>
    <w:rsid w:val="002A3CCD"/>
    <w:rsid w:val="002E7E2F"/>
    <w:rsid w:val="002F0FDE"/>
    <w:rsid w:val="002F4B1C"/>
    <w:rsid w:val="00373133"/>
    <w:rsid w:val="003D3AA4"/>
    <w:rsid w:val="003F740B"/>
    <w:rsid w:val="00411440"/>
    <w:rsid w:val="0044209B"/>
    <w:rsid w:val="004612D6"/>
    <w:rsid w:val="004A6DEE"/>
    <w:rsid w:val="004F0CA8"/>
    <w:rsid w:val="005041B5"/>
    <w:rsid w:val="0053611C"/>
    <w:rsid w:val="005E13F6"/>
    <w:rsid w:val="005F3795"/>
    <w:rsid w:val="00601D09"/>
    <w:rsid w:val="00617EFE"/>
    <w:rsid w:val="00635787"/>
    <w:rsid w:val="00641D38"/>
    <w:rsid w:val="0065301C"/>
    <w:rsid w:val="00692ACE"/>
    <w:rsid w:val="006B4863"/>
    <w:rsid w:val="006F0809"/>
    <w:rsid w:val="00724D57"/>
    <w:rsid w:val="00727D22"/>
    <w:rsid w:val="00754375"/>
    <w:rsid w:val="007B6F97"/>
    <w:rsid w:val="007C22E6"/>
    <w:rsid w:val="007C4B00"/>
    <w:rsid w:val="007C5F14"/>
    <w:rsid w:val="007D30E2"/>
    <w:rsid w:val="007E5560"/>
    <w:rsid w:val="0080202A"/>
    <w:rsid w:val="00804D21"/>
    <w:rsid w:val="00805CA4"/>
    <w:rsid w:val="00837B0B"/>
    <w:rsid w:val="0086285F"/>
    <w:rsid w:val="00863CD4"/>
    <w:rsid w:val="00864163"/>
    <w:rsid w:val="00871D28"/>
    <w:rsid w:val="00876355"/>
    <w:rsid w:val="00883121"/>
    <w:rsid w:val="008B372C"/>
    <w:rsid w:val="008B6BFC"/>
    <w:rsid w:val="008D0188"/>
    <w:rsid w:val="008D63AA"/>
    <w:rsid w:val="009228E9"/>
    <w:rsid w:val="009368CE"/>
    <w:rsid w:val="00944DFB"/>
    <w:rsid w:val="00990BE6"/>
    <w:rsid w:val="009943DA"/>
    <w:rsid w:val="009B2BBD"/>
    <w:rsid w:val="009C5CEA"/>
    <w:rsid w:val="009D6B2B"/>
    <w:rsid w:val="009F075A"/>
    <w:rsid w:val="00A21B66"/>
    <w:rsid w:val="00A73B7F"/>
    <w:rsid w:val="00A86516"/>
    <w:rsid w:val="00AA2EC8"/>
    <w:rsid w:val="00B0764B"/>
    <w:rsid w:val="00B4574C"/>
    <w:rsid w:val="00BF344F"/>
    <w:rsid w:val="00C072AC"/>
    <w:rsid w:val="00C429DB"/>
    <w:rsid w:val="00C4698C"/>
    <w:rsid w:val="00C62B22"/>
    <w:rsid w:val="00C657EC"/>
    <w:rsid w:val="00C71702"/>
    <w:rsid w:val="00C72909"/>
    <w:rsid w:val="00C872A2"/>
    <w:rsid w:val="00CA7161"/>
    <w:rsid w:val="00CB64AD"/>
    <w:rsid w:val="00CC47B7"/>
    <w:rsid w:val="00D12C48"/>
    <w:rsid w:val="00D46A32"/>
    <w:rsid w:val="00DB6BAB"/>
    <w:rsid w:val="00DE4DB0"/>
    <w:rsid w:val="00DE6652"/>
    <w:rsid w:val="00E00D81"/>
    <w:rsid w:val="00E16AFA"/>
    <w:rsid w:val="00E17CB5"/>
    <w:rsid w:val="00E900E8"/>
    <w:rsid w:val="00EE1C3C"/>
    <w:rsid w:val="00EE4530"/>
    <w:rsid w:val="00EE497A"/>
    <w:rsid w:val="00EF42C3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63F0E"/>
  <w15:chartTrackingRefBased/>
  <w15:docId w15:val="{CD1B1B57-6325-46BC-AD16-513DF769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7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B39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0C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CA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F0C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CA8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C6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DB3F-A4D0-45E7-B042-39D6BB26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Lruiz</dc:creator>
  <cp:keywords/>
  <cp:lastModifiedBy>Marie Claude Brunel Manse</cp:lastModifiedBy>
  <cp:revision>17</cp:revision>
  <cp:lastPrinted>2019-01-22T22:41:00Z</cp:lastPrinted>
  <dcterms:created xsi:type="dcterms:W3CDTF">2020-07-16T15:23:00Z</dcterms:created>
  <dcterms:modified xsi:type="dcterms:W3CDTF">2020-07-20T15:16:00Z</dcterms:modified>
</cp:coreProperties>
</file>