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24BE" w14:textId="5D45E287" w:rsidR="003B2B76" w:rsidRPr="0091242B" w:rsidRDefault="0091242B">
      <w:pPr>
        <w:rPr>
          <w:rFonts w:ascii="Montserrat" w:hAnsi="Montserrat"/>
          <w:b/>
          <w:bCs/>
          <w:sz w:val="28"/>
          <w:szCs w:val="28"/>
        </w:rPr>
      </w:pPr>
      <w:r w:rsidRPr="0091242B">
        <w:rPr>
          <w:rFonts w:ascii="Montserrat" w:hAnsi="Montserrat"/>
          <w:b/>
          <w:bCs/>
          <w:sz w:val="28"/>
          <w:szCs w:val="28"/>
        </w:rPr>
        <w:t>VII. Desempeño institucional</w:t>
      </w:r>
    </w:p>
    <w:p w14:paraId="5D103ED7" w14:textId="2C69873F" w:rsidR="0091242B" w:rsidRDefault="0091242B" w:rsidP="0091242B">
      <w:pPr>
        <w:spacing w:after="0"/>
        <w:ind w:left="567"/>
        <w:rPr>
          <w:rFonts w:ascii="Montserrat" w:hAnsi="Montserrat"/>
          <w:b/>
          <w:bCs/>
          <w:sz w:val="24"/>
          <w:szCs w:val="24"/>
        </w:rPr>
      </w:pPr>
      <w:r w:rsidRPr="0091242B">
        <w:rPr>
          <w:rFonts w:ascii="Montserrat" w:hAnsi="Montserrat"/>
          <w:b/>
          <w:bCs/>
          <w:sz w:val="24"/>
          <w:szCs w:val="24"/>
        </w:rPr>
        <w:t>6. Cumplimiento de la Ley de Austeridad</w:t>
      </w:r>
    </w:p>
    <w:p w14:paraId="677657AC" w14:textId="77777777" w:rsidR="0091242B" w:rsidRPr="0091242B" w:rsidRDefault="0091242B" w:rsidP="0091242B">
      <w:pPr>
        <w:spacing w:after="0"/>
        <w:ind w:left="567"/>
        <w:rPr>
          <w:rFonts w:ascii="Montserrat" w:hAnsi="Montserrat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395"/>
        <w:gridCol w:w="6703"/>
      </w:tblGrid>
      <w:tr w:rsidR="000B5728" w:rsidRPr="000B5728" w14:paraId="2E8B2E0A" w14:textId="77777777" w:rsidTr="000B5728">
        <w:trPr>
          <w:trHeight w:val="358"/>
        </w:trPr>
        <w:tc>
          <w:tcPr>
            <w:tcW w:w="1696" w:type="dxa"/>
            <w:hideMark/>
          </w:tcPr>
          <w:p w14:paraId="5D2ED654" w14:textId="77777777" w:rsidR="000B5728" w:rsidRPr="000B5728" w:rsidRDefault="000B5728" w:rsidP="000B572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B5728">
              <w:rPr>
                <w:rFonts w:ascii="Montserrat" w:hAnsi="Montserrat"/>
                <w:b/>
                <w:bCs/>
                <w:sz w:val="20"/>
                <w:szCs w:val="20"/>
              </w:rPr>
              <w:t>Fundamento</w:t>
            </w:r>
          </w:p>
        </w:tc>
        <w:tc>
          <w:tcPr>
            <w:tcW w:w="5395" w:type="dxa"/>
            <w:hideMark/>
          </w:tcPr>
          <w:p w14:paraId="68E147E7" w14:textId="77777777" w:rsidR="000B5728" w:rsidRPr="000B5728" w:rsidRDefault="000B5728" w:rsidP="000B572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B5728">
              <w:rPr>
                <w:rFonts w:ascii="Montserrat" w:hAnsi="Montserrat"/>
                <w:b/>
                <w:bCs/>
                <w:sz w:val="20"/>
                <w:szCs w:val="20"/>
              </w:rPr>
              <w:t>Medidas en materia de Austeridad Republicana</w:t>
            </w:r>
          </w:p>
        </w:tc>
        <w:tc>
          <w:tcPr>
            <w:tcW w:w="6703" w:type="dxa"/>
            <w:hideMark/>
          </w:tcPr>
          <w:p w14:paraId="25905EA2" w14:textId="77777777" w:rsidR="000B5728" w:rsidRPr="000B5728" w:rsidRDefault="000B5728" w:rsidP="000B572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B5728">
              <w:rPr>
                <w:rFonts w:ascii="Montserrat" w:hAnsi="Montserrat"/>
                <w:b/>
                <w:bCs/>
                <w:sz w:val="20"/>
                <w:szCs w:val="20"/>
              </w:rPr>
              <w:t>Acciones realizadas con respecto al cumplimiento del artículo</w:t>
            </w:r>
          </w:p>
        </w:tc>
      </w:tr>
      <w:tr w:rsidR="000B5728" w:rsidRPr="000B5728" w14:paraId="6B6573CD" w14:textId="77777777" w:rsidTr="000B5728">
        <w:trPr>
          <w:trHeight w:val="2115"/>
        </w:trPr>
        <w:tc>
          <w:tcPr>
            <w:tcW w:w="1696" w:type="dxa"/>
            <w:hideMark/>
          </w:tcPr>
          <w:p w14:paraId="2C721086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Artículo 7, fracción II</w:t>
            </w:r>
          </w:p>
        </w:tc>
        <w:tc>
          <w:tcPr>
            <w:tcW w:w="5395" w:type="dxa"/>
            <w:hideMark/>
          </w:tcPr>
          <w:p w14:paraId="2EF0A4D2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Enfocar las medidas de austeridad republicana preferente en el gasto corriente no prioritario en los términos de la Ley Federal de Austeridad Republicana.</w:t>
            </w:r>
          </w:p>
        </w:tc>
        <w:tc>
          <w:tcPr>
            <w:tcW w:w="6703" w:type="dxa"/>
            <w:hideMark/>
          </w:tcPr>
          <w:p w14:paraId="60EFD258" w14:textId="5DEF7456" w:rsidR="000B5728" w:rsidRPr="000B5728" w:rsidRDefault="006715CB" w:rsidP="000B572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Derivado de la</w:t>
            </w:r>
            <w:r w:rsidR="00515FFF">
              <w:rPr>
                <w:rFonts w:ascii="Montserrat" w:hAnsi="Montserrat"/>
                <w:sz w:val="20"/>
                <w:szCs w:val="20"/>
              </w:rPr>
              <w:t>s</w:t>
            </w:r>
            <w:r>
              <w:rPr>
                <w:rFonts w:ascii="Montserrat" w:hAnsi="Montserrat"/>
                <w:sz w:val="20"/>
                <w:szCs w:val="20"/>
              </w:rPr>
              <w:t xml:space="preserve"> medidas de austeridad la institución tuvo una reducción en gasto corriente no prioritario por un monto de </w:t>
            </w:r>
            <w:r w:rsidR="00515FFF">
              <w:rPr>
                <w:rFonts w:ascii="Montserrat" w:hAnsi="Montserrat"/>
                <w:sz w:val="20"/>
                <w:szCs w:val="20"/>
              </w:rPr>
              <w:t>$4,864,263.47</w:t>
            </w:r>
            <w:r w:rsidR="00820B41">
              <w:rPr>
                <w:rFonts w:ascii="Montserrat" w:hAnsi="Montserrat"/>
                <w:sz w:val="20"/>
                <w:szCs w:val="20"/>
              </w:rPr>
              <w:t>.</w:t>
            </w:r>
            <w:r w:rsidR="00515FFF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820B41">
              <w:rPr>
                <w:rFonts w:ascii="Montserrat" w:hAnsi="Montserrat"/>
                <w:sz w:val="20"/>
                <w:szCs w:val="20"/>
              </w:rPr>
              <w:t>A</w:t>
            </w:r>
            <w:r w:rsidR="00515FFF">
              <w:rPr>
                <w:rFonts w:ascii="Montserrat" w:hAnsi="Montserrat"/>
                <w:sz w:val="20"/>
                <w:szCs w:val="20"/>
              </w:rPr>
              <w:t xml:space="preserve">ctualmente se están realizando </w:t>
            </w:r>
            <w:r w:rsidR="00D81927">
              <w:rPr>
                <w:rFonts w:ascii="Montserrat" w:hAnsi="Montserrat"/>
                <w:sz w:val="20"/>
                <w:szCs w:val="20"/>
              </w:rPr>
              <w:t>gastos estrictamente necesarios.</w:t>
            </w:r>
            <w:r w:rsidR="00515FFF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  <w:tr w:rsidR="000B5728" w:rsidRPr="000B5728" w14:paraId="58B3A825" w14:textId="77777777" w:rsidTr="000B5728">
        <w:trPr>
          <w:trHeight w:val="2595"/>
        </w:trPr>
        <w:tc>
          <w:tcPr>
            <w:tcW w:w="1696" w:type="dxa"/>
            <w:hideMark/>
          </w:tcPr>
          <w:p w14:paraId="2E1866A6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Artículo 8</w:t>
            </w:r>
          </w:p>
        </w:tc>
        <w:tc>
          <w:tcPr>
            <w:tcW w:w="5395" w:type="dxa"/>
            <w:hideMark/>
          </w:tcPr>
          <w:p w14:paraId="7926CCC9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Verificar que las adquisiciones, arrendamientos y servicios se adjudiquen a través de licitaciones públicas y que las excepciones a esta regla estén plenamente justificadas.</w:t>
            </w:r>
          </w:p>
        </w:tc>
        <w:tc>
          <w:tcPr>
            <w:tcW w:w="6703" w:type="dxa"/>
            <w:hideMark/>
          </w:tcPr>
          <w:p w14:paraId="608B3D18" w14:textId="5ED2499F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El Colegio de la Frontera Sur</w:t>
            </w:r>
            <w:r w:rsidR="00820B41">
              <w:rPr>
                <w:rFonts w:ascii="Montserrat" w:hAnsi="Montserrat"/>
                <w:sz w:val="20"/>
                <w:szCs w:val="20"/>
              </w:rPr>
              <w:t>,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en apego a la normativa</w:t>
            </w:r>
            <w:r w:rsidR="00820B41">
              <w:rPr>
                <w:rFonts w:ascii="Montserrat" w:hAnsi="Montserrat"/>
                <w:sz w:val="20"/>
                <w:szCs w:val="20"/>
              </w:rPr>
              <w:t>,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procedió a realizar diversas licitaciones públicas nacionales: servicio de vigilancia, limpieza, abastecimiento de combustible, reservación y expedición de boletos de avión, vales de despensa, seguros de bienes y de personas, lo cual representa el 20.79% del presupuesto asignado a la institución para el 2020. El 12.25% del monto de las adjudicaciones realizadas en el primer semestre del ejercicio fiscal 2020 se presentó como casos de excepción ante el CAAS (Comité de Adquisiciones, Arrendamientos y Servicios de ECOSUR) a través del artículo 41.</w:t>
            </w:r>
          </w:p>
        </w:tc>
      </w:tr>
      <w:tr w:rsidR="000B5728" w:rsidRPr="000B5728" w14:paraId="497D0D4E" w14:textId="77777777" w:rsidTr="000B5728">
        <w:trPr>
          <w:trHeight w:val="2460"/>
        </w:trPr>
        <w:tc>
          <w:tcPr>
            <w:tcW w:w="1696" w:type="dxa"/>
            <w:hideMark/>
          </w:tcPr>
          <w:p w14:paraId="7F4678E4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lastRenderedPageBreak/>
              <w:t>Artículo 10</w:t>
            </w:r>
          </w:p>
        </w:tc>
        <w:tc>
          <w:tcPr>
            <w:tcW w:w="5395" w:type="dxa"/>
            <w:hideMark/>
          </w:tcPr>
          <w:p w14:paraId="4D98C0C8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Los gastos por concepto de telefonía, telefonía celular, fotocopiado, combustibles, arrendamientos, viáticos, alimentación, mobiliario, remodelación de oficinas, equipo de telecomunicaciones, bienes informáticos, papelería, pasajes, congresos, convenciones, exposiciones y seminarios, necesarios para cumplir la función de cada dependencia y organismo, no podrán exceder de los montos erogados en el ejercicio presupuestal inmediato anterior, una vez considerados los incrementos en precios y tarifas oficiales o la inflación.</w:t>
            </w:r>
          </w:p>
        </w:tc>
        <w:tc>
          <w:tcPr>
            <w:tcW w:w="6703" w:type="dxa"/>
            <w:hideMark/>
          </w:tcPr>
          <w:p w14:paraId="78289F88" w14:textId="6E2F3F54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 xml:space="preserve">No se contrataron nuevos servicios </w:t>
            </w:r>
            <w:r w:rsidR="001F455D" w:rsidRPr="000B5728">
              <w:rPr>
                <w:rFonts w:ascii="Montserrat" w:hAnsi="Montserrat"/>
                <w:sz w:val="20"/>
                <w:szCs w:val="20"/>
              </w:rPr>
              <w:t>telefónicos</w:t>
            </w:r>
            <w:r w:rsidRPr="000B5728">
              <w:rPr>
                <w:rFonts w:ascii="Montserrat" w:hAnsi="Montserrat"/>
                <w:sz w:val="20"/>
                <w:szCs w:val="20"/>
              </w:rPr>
              <w:t>, l</w:t>
            </w:r>
            <w:r w:rsidR="001F455D">
              <w:rPr>
                <w:rFonts w:ascii="Montserrat" w:hAnsi="Montserrat"/>
                <w:sz w:val="20"/>
                <w:szCs w:val="20"/>
              </w:rPr>
              <w:t>o</w:t>
            </w:r>
            <w:r w:rsidRPr="000B5728">
              <w:rPr>
                <w:rFonts w:ascii="Montserrat" w:hAnsi="Montserrat"/>
                <w:sz w:val="20"/>
                <w:szCs w:val="20"/>
              </w:rPr>
              <w:t>s existentes no aumentaron su costo</w:t>
            </w:r>
            <w:r w:rsidR="001F455D">
              <w:rPr>
                <w:rFonts w:ascii="Montserrat" w:hAnsi="Montserrat"/>
                <w:sz w:val="20"/>
                <w:szCs w:val="20"/>
              </w:rPr>
              <w:t>.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1F455D">
              <w:rPr>
                <w:rFonts w:ascii="Montserrat" w:hAnsi="Montserrat"/>
                <w:sz w:val="20"/>
                <w:szCs w:val="20"/>
              </w:rPr>
              <w:t>El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costo del servicio de fotocopiado se mantuvo igual que el ejercicio fiscal 2019</w:t>
            </w:r>
            <w:r w:rsidR="001F455D">
              <w:rPr>
                <w:rFonts w:ascii="Montserrat" w:hAnsi="Montserrat"/>
                <w:sz w:val="20"/>
                <w:szCs w:val="20"/>
              </w:rPr>
              <w:t>.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Se realizó un concurso por invitación a cuando menos tres personas en apego al contrato marco para el servicio de combustible.</w:t>
            </w:r>
            <w:r w:rsidR="001F455D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0B5728">
              <w:rPr>
                <w:rFonts w:ascii="Montserrat" w:hAnsi="Montserrat"/>
                <w:sz w:val="20"/>
                <w:szCs w:val="20"/>
              </w:rPr>
              <w:t>No se adquirió mobiliario. No se remodelaron oficinas. Se realizó una licitación pública para adjudicar el servicio de vigilancia.</w:t>
            </w:r>
          </w:p>
        </w:tc>
      </w:tr>
      <w:tr w:rsidR="000B5728" w:rsidRPr="000B5728" w14:paraId="6D54524C" w14:textId="77777777" w:rsidTr="000B5728">
        <w:trPr>
          <w:trHeight w:val="1699"/>
        </w:trPr>
        <w:tc>
          <w:tcPr>
            <w:tcW w:w="1696" w:type="dxa"/>
            <w:hideMark/>
          </w:tcPr>
          <w:p w14:paraId="5D744E90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Artículo 11</w:t>
            </w:r>
          </w:p>
        </w:tc>
        <w:tc>
          <w:tcPr>
            <w:tcW w:w="5395" w:type="dxa"/>
            <w:hideMark/>
          </w:tcPr>
          <w:p w14:paraId="51F6D35C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Las erogaciones por concepto de congresos y convenciones se sujetarán a los lineamientos que, en términos del artículo 16 del presente ordenamiento, emitan la Secretaría de la Función Pública y la Secretaría de Hacienda y Crédito Público,</w:t>
            </w:r>
          </w:p>
        </w:tc>
        <w:tc>
          <w:tcPr>
            <w:tcW w:w="6703" w:type="dxa"/>
            <w:hideMark/>
          </w:tcPr>
          <w:p w14:paraId="05176397" w14:textId="744FD2C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El Colegio de la Frontera Sur no ha realizado ningún congreso o convenció</w:t>
            </w:r>
            <w:r w:rsidR="001F455D">
              <w:rPr>
                <w:rFonts w:ascii="Montserrat" w:hAnsi="Montserrat"/>
                <w:sz w:val="20"/>
                <w:szCs w:val="20"/>
              </w:rPr>
              <w:t>n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durante el </w:t>
            </w:r>
            <w:r w:rsidR="001F455D">
              <w:rPr>
                <w:rFonts w:ascii="Montserrat" w:hAnsi="Montserrat"/>
                <w:sz w:val="20"/>
                <w:szCs w:val="20"/>
              </w:rPr>
              <w:t>primer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semestre de 2020.</w:t>
            </w:r>
          </w:p>
        </w:tc>
      </w:tr>
      <w:tr w:rsidR="000B5728" w:rsidRPr="000B5728" w14:paraId="3049A94D" w14:textId="77777777" w:rsidTr="000B5728">
        <w:trPr>
          <w:trHeight w:val="2127"/>
        </w:trPr>
        <w:tc>
          <w:tcPr>
            <w:tcW w:w="1696" w:type="dxa"/>
            <w:hideMark/>
          </w:tcPr>
          <w:p w14:paraId="56E62186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Artículo 12, fracción V</w:t>
            </w:r>
          </w:p>
        </w:tc>
        <w:tc>
          <w:tcPr>
            <w:tcW w:w="5395" w:type="dxa"/>
            <w:hideMark/>
          </w:tcPr>
          <w:p w14:paraId="55A0EB85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La contratación de servicios de consultoría, asesoría y de todo tipo de despachos externos para elaborar estudios, investigaciones, proyectos de ley, planes de desarrollo, o cualquier tipo de análisis y recomendaciones, se realizará exclusivamente cuando las personas físicas o morales que presten los servicios no desempeñen funciones similares, iguales o equivalentes a las del personal de plaza presupuestaria, no puedan realizarse con la fuerza de trabajo y capacidad profesional de los servidores públicos y sean indispensables para el cumplimiento de los programas autorizados, considerando lo establecido en los artículos 19 de la Ley de Adquisiciones, Arrendamientos y Servicios del Sector Público y 62 de la Ley Federal de Presupuesto y Responsabilidad Hacendaria.</w:t>
            </w:r>
          </w:p>
        </w:tc>
        <w:tc>
          <w:tcPr>
            <w:tcW w:w="6703" w:type="dxa"/>
            <w:hideMark/>
          </w:tcPr>
          <w:p w14:paraId="19781EFE" w14:textId="35560199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Las contrataciones corresponde</w:t>
            </w:r>
            <w:r w:rsidR="001F455D">
              <w:rPr>
                <w:rFonts w:ascii="Montserrat" w:hAnsi="Montserrat"/>
                <w:sz w:val="20"/>
                <w:szCs w:val="20"/>
              </w:rPr>
              <w:t>n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a lo estrictamente indispensable, mismas que se encuentran debidamente justificadas a través del artículo 41 de la LAASSP.</w:t>
            </w:r>
          </w:p>
        </w:tc>
      </w:tr>
      <w:tr w:rsidR="000B5728" w:rsidRPr="000B5728" w14:paraId="326CD220" w14:textId="77777777" w:rsidTr="000B5728">
        <w:trPr>
          <w:trHeight w:val="2127"/>
        </w:trPr>
        <w:tc>
          <w:tcPr>
            <w:tcW w:w="1696" w:type="dxa"/>
            <w:hideMark/>
          </w:tcPr>
          <w:p w14:paraId="18574A0F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lastRenderedPageBreak/>
              <w:t>Artículo 16, fracción I.</w:t>
            </w:r>
          </w:p>
        </w:tc>
        <w:tc>
          <w:tcPr>
            <w:tcW w:w="5395" w:type="dxa"/>
            <w:hideMark/>
          </w:tcPr>
          <w:p w14:paraId="67C0EED9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Se prohíbe la compra o arrendamiento de vehículos de lujo o cuyo valor comercial supere las cuatro mil trescientas cuarenta y tres Unidades de Medida y Actualización diaria vigente para el transporte y traslado de los servidores públicos. Cuando resulte necesario adquirir o arrendar un tipo de vehículo específico para desarrollar tareas indispensables vinculadas con el cumplimiento de las obligaciones de los entes públicos, su adquisición o arrendamiento se realizará previa justificación que al efecto realice la autoridad compradora, misma que se someterá a la consideración del órgano encargado del control interno que corresponda, y se deberá optar preferentemente por tecnologías que generen menores daños ambientales;</w:t>
            </w:r>
          </w:p>
        </w:tc>
        <w:tc>
          <w:tcPr>
            <w:tcW w:w="6703" w:type="dxa"/>
            <w:hideMark/>
          </w:tcPr>
          <w:p w14:paraId="6F97ED05" w14:textId="7402D6D5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 xml:space="preserve">Durante el primer semestre del ejercicio fiscal 2020 El Colegio de la Frontera Sur no adquirió </w:t>
            </w:r>
            <w:r w:rsidR="008320CC" w:rsidRPr="000B5728">
              <w:rPr>
                <w:rFonts w:ascii="Montserrat" w:hAnsi="Montserrat"/>
                <w:sz w:val="20"/>
                <w:szCs w:val="20"/>
              </w:rPr>
              <w:t>n</w:t>
            </w:r>
            <w:r w:rsidR="008320CC">
              <w:rPr>
                <w:rFonts w:ascii="Montserrat" w:hAnsi="Montserrat"/>
                <w:sz w:val="20"/>
                <w:szCs w:val="20"/>
              </w:rPr>
              <w:t>i</w:t>
            </w:r>
            <w:r w:rsidR="008320CC" w:rsidRPr="000B5728">
              <w:rPr>
                <w:rFonts w:ascii="Montserrat" w:hAnsi="Montserrat"/>
                <w:sz w:val="20"/>
                <w:szCs w:val="20"/>
              </w:rPr>
              <w:t>ngún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vehículo</w:t>
            </w:r>
            <w:r w:rsidR="006715CB">
              <w:rPr>
                <w:rFonts w:ascii="Montserrat" w:hAnsi="Montserrat"/>
                <w:sz w:val="20"/>
                <w:szCs w:val="20"/>
              </w:rPr>
              <w:t xml:space="preserve"> y no se arrendaron vehículos de lujo.</w:t>
            </w:r>
          </w:p>
        </w:tc>
      </w:tr>
      <w:tr w:rsidR="000B5728" w:rsidRPr="000B5728" w14:paraId="53216909" w14:textId="77777777" w:rsidTr="000B5728">
        <w:trPr>
          <w:trHeight w:val="2127"/>
        </w:trPr>
        <w:tc>
          <w:tcPr>
            <w:tcW w:w="1696" w:type="dxa"/>
            <w:hideMark/>
          </w:tcPr>
          <w:p w14:paraId="13C5F277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Artículo 16, fracción II.</w:t>
            </w:r>
          </w:p>
        </w:tc>
        <w:tc>
          <w:tcPr>
            <w:tcW w:w="5395" w:type="dxa"/>
            <w:hideMark/>
          </w:tcPr>
          <w:p w14:paraId="2BF374BB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Los vehículos oficiales sólo podrán destinarse a actividades que permitan el cumplimiento de las funciones de la Administración Pública Federal. Queda prohibido cualquier uso privado de dichos vehículos;</w:t>
            </w:r>
          </w:p>
        </w:tc>
        <w:tc>
          <w:tcPr>
            <w:tcW w:w="6703" w:type="dxa"/>
            <w:hideMark/>
          </w:tcPr>
          <w:p w14:paraId="35D1F7EF" w14:textId="3EF97802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 xml:space="preserve">Los vehículos propiedad de </w:t>
            </w:r>
            <w:r w:rsidR="008320CC">
              <w:rPr>
                <w:rFonts w:ascii="Montserrat" w:hAnsi="Montserrat"/>
                <w:sz w:val="20"/>
                <w:szCs w:val="20"/>
              </w:rPr>
              <w:t>ECOSUR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únicamente son utilizados con fines institucionales, tal como se muestra en las hojas de comisión.</w:t>
            </w:r>
          </w:p>
        </w:tc>
      </w:tr>
      <w:tr w:rsidR="000B5728" w:rsidRPr="000B5728" w14:paraId="13059018" w14:textId="77777777" w:rsidTr="000B5728">
        <w:trPr>
          <w:trHeight w:val="2127"/>
        </w:trPr>
        <w:tc>
          <w:tcPr>
            <w:tcW w:w="1696" w:type="dxa"/>
            <w:hideMark/>
          </w:tcPr>
          <w:p w14:paraId="43C7569C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Artículo 16, fracción III.</w:t>
            </w:r>
          </w:p>
        </w:tc>
        <w:tc>
          <w:tcPr>
            <w:tcW w:w="5395" w:type="dxa"/>
            <w:hideMark/>
          </w:tcPr>
          <w:p w14:paraId="51527E6E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Las adquisiciones y arrendamientos de equipos y sistemas de cómputo se realizarán previa justificación, con base en planes de modernización y priorizando el uso de software libre, siempre y cuando cumpla con las características requeridas para el ejercicio de las funciones públicas;</w:t>
            </w:r>
          </w:p>
        </w:tc>
        <w:tc>
          <w:tcPr>
            <w:tcW w:w="6703" w:type="dxa"/>
            <w:hideMark/>
          </w:tcPr>
          <w:p w14:paraId="64C9210B" w14:textId="64050CD0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 xml:space="preserve">No se ha adquirido equipo de cómputo durante el </w:t>
            </w:r>
            <w:r w:rsidR="006715CB">
              <w:rPr>
                <w:rFonts w:ascii="Montserrat" w:hAnsi="Montserrat"/>
                <w:sz w:val="20"/>
                <w:szCs w:val="20"/>
              </w:rPr>
              <w:t>segundo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trimestre del ejercicio fiscal 2020, los </w:t>
            </w:r>
            <w:r w:rsidR="001E2164" w:rsidRPr="000B5728">
              <w:rPr>
                <w:rFonts w:ascii="Montserrat" w:hAnsi="Montserrat"/>
                <w:sz w:val="20"/>
                <w:szCs w:val="20"/>
              </w:rPr>
              <w:t>arrendamientos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han sido </w:t>
            </w:r>
            <w:r w:rsidR="001E2164" w:rsidRPr="000B5728">
              <w:rPr>
                <w:rFonts w:ascii="Montserrat" w:hAnsi="Montserrat"/>
                <w:sz w:val="20"/>
                <w:szCs w:val="20"/>
              </w:rPr>
              <w:t>justificados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a través del artículo 41 de la LAASSP.</w:t>
            </w:r>
          </w:p>
        </w:tc>
      </w:tr>
      <w:tr w:rsidR="000B5728" w:rsidRPr="000B5728" w14:paraId="1A41893E" w14:textId="77777777" w:rsidTr="000B5728">
        <w:trPr>
          <w:trHeight w:val="2127"/>
        </w:trPr>
        <w:tc>
          <w:tcPr>
            <w:tcW w:w="1696" w:type="dxa"/>
            <w:hideMark/>
          </w:tcPr>
          <w:p w14:paraId="5775AE2D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lastRenderedPageBreak/>
              <w:t>Artículo 16, fracción VI.</w:t>
            </w:r>
          </w:p>
        </w:tc>
        <w:tc>
          <w:tcPr>
            <w:tcW w:w="5395" w:type="dxa"/>
            <w:hideMark/>
          </w:tcPr>
          <w:p w14:paraId="58A7DCCC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No se realizarán gastos de oficina innecesarios. En ningún caso se autorizará la compra de bienes e insumos mientras haya suficiencia de los mismos en las oficinas o almacenes, considerando el tiempo de reposición;</w:t>
            </w:r>
          </w:p>
        </w:tc>
        <w:tc>
          <w:tcPr>
            <w:tcW w:w="6703" w:type="dxa"/>
            <w:hideMark/>
          </w:tcPr>
          <w:p w14:paraId="3ACE5FE4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Durante el primer semestre del ejercicio fiscal 2020 no se ha adquirido bienes o insumos de oficinas.</w:t>
            </w:r>
          </w:p>
        </w:tc>
      </w:tr>
      <w:tr w:rsidR="000B5728" w:rsidRPr="000B5728" w14:paraId="4B7B8920" w14:textId="77777777" w:rsidTr="000B5728">
        <w:trPr>
          <w:trHeight w:val="2127"/>
        </w:trPr>
        <w:tc>
          <w:tcPr>
            <w:tcW w:w="1696" w:type="dxa"/>
            <w:hideMark/>
          </w:tcPr>
          <w:p w14:paraId="5F3ADA13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Artículo 16, fracción VII.</w:t>
            </w:r>
          </w:p>
        </w:tc>
        <w:tc>
          <w:tcPr>
            <w:tcW w:w="5395" w:type="dxa"/>
            <w:hideMark/>
          </w:tcPr>
          <w:p w14:paraId="6FCD00D6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Se prohíbe remodelar oficinas por cuestiones estéticas o comprar mobiliario de lujo-</w:t>
            </w:r>
          </w:p>
        </w:tc>
        <w:tc>
          <w:tcPr>
            <w:tcW w:w="6703" w:type="dxa"/>
            <w:hideMark/>
          </w:tcPr>
          <w:p w14:paraId="26A60E33" w14:textId="55C58418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Durante el primer semestre</w:t>
            </w:r>
            <w:r w:rsidR="001E216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0B5728">
              <w:rPr>
                <w:rFonts w:ascii="Montserrat" w:hAnsi="Montserrat"/>
                <w:sz w:val="20"/>
                <w:szCs w:val="20"/>
              </w:rPr>
              <w:t>del ejercicio fiscal 2020</w:t>
            </w:r>
            <w:r w:rsidR="001E2164">
              <w:rPr>
                <w:rFonts w:ascii="Montserrat" w:hAnsi="Montserrat"/>
                <w:sz w:val="20"/>
                <w:szCs w:val="20"/>
              </w:rPr>
              <w:t>,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1E2164">
              <w:rPr>
                <w:rFonts w:ascii="Montserrat" w:hAnsi="Montserrat"/>
                <w:sz w:val="20"/>
                <w:szCs w:val="20"/>
              </w:rPr>
              <w:t>ECOSUR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no ha remodelado oficinas.</w:t>
            </w:r>
          </w:p>
        </w:tc>
      </w:tr>
      <w:tr w:rsidR="000B5728" w:rsidRPr="000B5728" w14:paraId="216C1018" w14:textId="77777777" w:rsidTr="000B5728">
        <w:trPr>
          <w:trHeight w:val="2127"/>
        </w:trPr>
        <w:tc>
          <w:tcPr>
            <w:tcW w:w="1696" w:type="dxa"/>
            <w:hideMark/>
          </w:tcPr>
          <w:p w14:paraId="5D487F38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Artículo 16, fracción VIII.</w:t>
            </w:r>
          </w:p>
        </w:tc>
        <w:tc>
          <w:tcPr>
            <w:tcW w:w="5395" w:type="dxa"/>
            <w:hideMark/>
          </w:tcPr>
          <w:p w14:paraId="41456514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Se prohíbe el derroche en energía eléctrica, agua, servicios de telefonía fija y móvil, gasolinas e insumos financiados por el erario.</w:t>
            </w:r>
          </w:p>
        </w:tc>
        <w:tc>
          <w:tcPr>
            <w:tcW w:w="6703" w:type="dxa"/>
            <w:hideMark/>
          </w:tcPr>
          <w:p w14:paraId="1E439306" w14:textId="734BD0B6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Durante el primer semestre del ejercicio fiscal 2020</w:t>
            </w:r>
            <w:r w:rsidR="001E2164">
              <w:rPr>
                <w:rFonts w:ascii="Montserrat" w:hAnsi="Montserrat"/>
                <w:sz w:val="20"/>
                <w:szCs w:val="20"/>
              </w:rPr>
              <w:t>, ECOSUR,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en la medida de lo posible</w:t>
            </w:r>
            <w:r w:rsidR="001E2164">
              <w:rPr>
                <w:rFonts w:ascii="Montserrat" w:hAnsi="Montserrat"/>
                <w:sz w:val="20"/>
                <w:szCs w:val="20"/>
              </w:rPr>
              <w:t>,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ha </w:t>
            </w:r>
            <w:r w:rsidR="001E2164">
              <w:rPr>
                <w:rFonts w:ascii="Montserrat" w:hAnsi="Montserrat"/>
                <w:sz w:val="20"/>
                <w:szCs w:val="20"/>
              </w:rPr>
              <w:t>continuado en reemplazar las lámparas usadas por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1E2164" w:rsidRPr="000B5728">
              <w:rPr>
                <w:rFonts w:ascii="Montserrat" w:hAnsi="Montserrat"/>
                <w:sz w:val="20"/>
                <w:szCs w:val="20"/>
              </w:rPr>
              <w:t>lámparas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led para mayor ahorro de energía </w:t>
            </w:r>
            <w:r w:rsidR="001E2164" w:rsidRPr="000B5728">
              <w:rPr>
                <w:rFonts w:ascii="Montserrat" w:hAnsi="Montserrat"/>
                <w:sz w:val="20"/>
                <w:szCs w:val="20"/>
              </w:rPr>
              <w:t>eléctrica</w:t>
            </w:r>
            <w:r w:rsidRPr="000B5728">
              <w:rPr>
                <w:rFonts w:ascii="Montserrat" w:hAnsi="Montserrat"/>
                <w:sz w:val="20"/>
                <w:szCs w:val="20"/>
              </w:rPr>
              <w:t>. No se han contratado nuevas líneas telefónicas.</w:t>
            </w:r>
          </w:p>
        </w:tc>
      </w:tr>
      <w:tr w:rsidR="000B5728" w:rsidRPr="000B5728" w14:paraId="6FAD08A6" w14:textId="77777777" w:rsidTr="000B5728">
        <w:trPr>
          <w:trHeight w:val="600"/>
        </w:trPr>
        <w:tc>
          <w:tcPr>
            <w:tcW w:w="7091" w:type="dxa"/>
            <w:gridSpan w:val="2"/>
            <w:hideMark/>
          </w:tcPr>
          <w:p w14:paraId="49B22410" w14:textId="1E524649" w:rsidR="000B5728" w:rsidRPr="000B5728" w:rsidRDefault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>Decreto por el que se establecen las medidas de austerida</w:t>
            </w:r>
            <w:r w:rsidR="001E2164">
              <w:rPr>
                <w:rFonts w:ascii="Montserrat" w:hAnsi="Montserrat"/>
                <w:sz w:val="20"/>
                <w:szCs w:val="20"/>
              </w:rPr>
              <w:t>d</w:t>
            </w:r>
            <w:r w:rsidRPr="000B5728">
              <w:rPr>
                <w:rFonts w:ascii="Montserrat" w:hAnsi="Montserrat"/>
                <w:sz w:val="20"/>
                <w:szCs w:val="20"/>
              </w:rPr>
              <w:t xml:space="preserve"> que deberán observar las dependencias y entidades de la Administración Pública bajo los criterios que en el mismo se indican</w:t>
            </w:r>
          </w:p>
        </w:tc>
        <w:tc>
          <w:tcPr>
            <w:tcW w:w="6703" w:type="dxa"/>
            <w:noWrap/>
            <w:hideMark/>
          </w:tcPr>
          <w:p w14:paraId="521E4E42" w14:textId="77777777" w:rsidR="000B5728" w:rsidRPr="000B5728" w:rsidRDefault="000B5728" w:rsidP="000B5728">
            <w:pPr>
              <w:rPr>
                <w:rFonts w:ascii="Montserrat" w:hAnsi="Montserrat"/>
                <w:sz w:val="20"/>
                <w:szCs w:val="20"/>
              </w:rPr>
            </w:pPr>
            <w:r w:rsidRPr="000B5728">
              <w:rPr>
                <w:rFonts w:ascii="Montserrat" w:hAnsi="Montserrat"/>
                <w:sz w:val="20"/>
                <w:szCs w:val="20"/>
              </w:rPr>
              <w:t xml:space="preserve">Durante el segundo trimestre del presente ejercicio fiscal no hubo creación de plazas. La institución se sujeta al presupuesto autorizado en servicios personales, así como a su estructura autorizada. </w:t>
            </w:r>
          </w:p>
        </w:tc>
      </w:tr>
    </w:tbl>
    <w:p w14:paraId="71B7FC24" w14:textId="77777777" w:rsidR="000B5728" w:rsidRPr="000B5728" w:rsidRDefault="000B5728">
      <w:pPr>
        <w:rPr>
          <w:rFonts w:ascii="Montserrat" w:hAnsi="Montserrat"/>
          <w:sz w:val="20"/>
          <w:szCs w:val="20"/>
        </w:rPr>
      </w:pPr>
    </w:p>
    <w:sectPr w:rsidR="000B5728" w:rsidRPr="000B5728" w:rsidSect="000B5728">
      <w:headerReference w:type="default" r:id="rId6"/>
      <w:footerReference w:type="default" r:id="rId7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DE6F" w14:textId="77777777" w:rsidR="000F1F92" w:rsidRDefault="000F1F92" w:rsidP="000B5728">
      <w:pPr>
        <w:spacing w:after="0" w:line="240" w:lineRule="auto"/>
      </w:pPr>
      <w:r>
        <w:separator/>
      </w:r>
    </w:p>
  </w:endnote>
  <w:endnote w:type="continuationSeparator" w:id="0">
    <w:p w14:paraId="4FC91582" w14:textId="77777777" w:rsidR="000F1F92" w:rsidRDefault="000F1F92" w:rsidP="000B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514267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5705F2B3" w14:textId="22940764" w:rsidR="0096095B" w:rsidRPr="0096095B" w:rsidRDefault="0096095B">
        <w:pPr>
          <w:pStyle w:val="Piedepgina"/>
          <w:jc w:val="center"/>
          <w:rPr>
            <w:rFonts w:ascii="Montserrat" w:hAnsi="Montserrat"/>
          </w:rPr>
        </w:pPr>
        <w:r w:rsidRPr="0096095B">
          <w:rPr>
            <w:rFonts w:ascii="Montserrat" w:hAnsi="Montserrat"/>
          </w:rPr>
          <w:fldChar w:fldCharType="begin"/>
        </w:r>
        <w:r w:rsidRPr="0096095B">
          <w:rPr>
            <w:rFonts w:ascii="Montserrat" w:hAnsi="Montserrat"/>
          </w:rPr>
          <w:instrText>PAGE   \* MERGEFORMAT</w:instrText>
        </w:r>
        <w:r w:rsidRPr="0096095B">
          <w:rPr>
            <w:rFonts w:ascii="Montserrat" w:hAnsi="Montserrat"/>
          </w:rPr>
          <w:fldChar w:fldCharType="separate"/>
        </w:r>
        <w:r w:rsidRPr="0096095B">
          <w:rPr>
            <w:rFonts w:ascii="Montserrat" w:hAnsi="Montserrat"/>
            <w:lang w:val="es-ES"/>
          </w:rPr>
          <w:t>2</w:t>
        </w:r>
        <w:r w:rsidRPr="0096095B">
          <w:rPr>
            <w:rFonts w:ascii="Montserrat" w:hAnsi="Montserrat"/>
          </w:rPr>
          <w:fldChar w:fldCharType="end"/>
        </w:r>
      </w:p>
    </w:sdtContent>
  </w:sdt>
  <w:p w14:paraId="40AB27CD" w14:textId="77777777" w:rsidR="0096095B" w:rsidRDefault="009609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D4410" w14:textId="77777777" w:rsidR="000F1F92" w:rsidRDefault="000F1F92" w:rsidP="000B5728">
      <w:pPr>
        <w:spacing w:after="0" w:line="240" w:lineRule="auto"/>
      </w:pPr>
      <w:r>
        <w:separator/>
      </w:r>
    </w:p>
  </w:footnote>
  <w:footnote w:type="continuationSeparator" w:id="0">
    <w:p w14:paraId="1EDA1B43" w14:textId="77777777" w:rsidR="000F1F92" w:rsidRDefault="000F1F92" w:rsidP="000B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34D8" w14:textId="7B91711C" w:rsidR="0091242B" w:rsidRDefault="0091242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C48D6" wp14:editId="5E5C998F">
          <wp:simplePos x="0" y="0"/>
          <wp:positionH relativeFrom="margin">
            <wp:align>center</wp:align>
          </wp:positionH>
          <wp:positionV relativeFrom="paragraph">
            <wp:posOffset>-36581</wp:posOffset>
          </wp:positionV>
          <wp:extent cx="8260715" cy="76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7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D4A9E" w14:textId="5DD80496" w:rsidR="0091242B" w:rsidRDefault="0091242B">
    <w:pPr>
      <w:pStyle w:val="Encabezado"/>
    </w:pPr>
  </w:p>
  <w:p w14:paraId="4334D931" w14:textId="5D7CF973" w:rsidR="0091242B" w:rsidRDefault="0091242B">
    <w:pPr>
      <w:pStyle w:val="Encabezado"/>
    </w:pPr>
  </w:p>
  <w:p w14:paraId="1E7AAA04" w14:textId="62D90AE2" w:rsidR="0091242B" w:rsidRDefault="0091242B">
    <w:pPr>
      <w:pStyle w:val="Encabezado"/>
    </w:pPr>
  </w:p>
  <w:p w14:paraId="3B83591E" w14:textId="77777777" w:rsidR="0091242B" w:rsidRDefault="009124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8"/>
    <w:rsid w:val="000B5728"/>
    <w:rsid w:val="000F1F92"/>
    <w:rsid w:val="001E2164"/>
    <w:rsid w:val="001F455D"/>
    <w:rsid w:val="003B2B76"/>
    <w:rsid w:val="00401F06"/>
    <w:rsid w:val="00515FFF"/>
    <w:rsid w:val="006715CB"/>
    <w:rsid w:val="00797C64"/>
    <w:rsid w:val="00820B41"/>
    <w:rsid w:val="008320CC"/>
    <w:rsid w:val="0091242B"/>
    <w:rsid w:val="0096095B"/>
    <w:rsid w:val="00D81927"/>
    <w:rsid w:val="00F2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8099"/>
  <w15:chartTrackingRefBased/>
  <w15:docId w15:val="{09B2051F-9493-4271-A2F4-6A34BD52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728"/>
  </w:style>
  <w:style w:type="paragraph" w:styleId="Piedepgina">
    <w:name w:val="footer"/>
    <w:basedOn w:val="Normal"/>
    <w:link w:val="PiedepginaCar"/>
    <w:uiPriority w:val="99"/>
    <w:unhideWhenUsed/>
    <w:rsid w:val="000B5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728"/>
  </w:style>
  <w:style w:type="table" w:styleId="Tablaconcuadrcula">
    <w:name w:val="Table Grid"/>
    <w:basedOn w:val="Tablanormal"/>
    <w:uiPriority w:val="39"/>
    <w:rsid w:val="000B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Brunel Manse</dc:creator>
  <cp:keywords/>
  <dc:description/>
  <cp:lastModifiedBy>Marie Claude Brunel Manse</cp:lastModifiedBy>
  <cp:revision>4</cp:revision>
  <dcterms:created xsi:type="dcterms:W3CDTF">2020-08-06T01:25:00Z</dcterms:created>
  <dcterms:modified xsi:type="dcterms:W3CDTF">2020-08-06T16:33:00Z</dcterms:modified>
</cp:coreProperties>
</file>