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6618E" w14:textId="35FC9EFC" w:rsidR="004F0CA8" w:rsidRDefault="00080986" w:rsidP="00080986">
      <w:pPr>
        <w:jc w:val="both"/>
        <w:rPr>
          <w:rFonts w:ascii="Montserrat" w:hAnsi="Montserrat"/>
          <w:b/>
          <w:bCs/>
          <w:sz w:val="28"/>
          <w:szCs w:val="28"/>
        </w:rPr>
      </w:pPr>
      <w:r w:rsidRPr="00080986">
        <w:rPr>
          <w:rFonts w:ascii="Montserrat" w:hAnsi="Montserrat"/>
          <w:b/>
          <w:bCs/>
          <w:sz w:val="28"/>
          <w:szCs w:val="28"/>
        </w:rPr>
        <w:t>XIII. Seguimiento al Programa Nacional de Combate a la Corrupción y la Impunidad, y de Mejora de Gestión Pública 2019-2024</w:t>
      </w:r>
    </w:p>
    <w:p w14:paraId="376BEB1C" w14:textId="62B9673A" w:rsidR="00080986" w:rsidRDefault="00080986" w:rsidP="00692ACE">
      <w:pPr>
        <w:spacing w:line="276" w:lineRule="auto"/>
        <w:jc w:val="both"/>
        <w:rPr>
          <w:rFonts w:ascii="Montserrat" w:hAnsi="Montserrat"/>
          <w:color w:val="000000" w:themeColor="text1"/>
        </w:rPr>
      </w:pPr>
      <w:r>
        <w:rPr>
          <w:rFonts w:ascii="Montserrat" w:hAnsi="Montserrat"/>
        </w:rPr>
        <w:t>A parti</w:t>
      </w:r>
      <w:r w:rsidR="00297CC3">
        <w:rPr>
          <w:rFonts w:ascii="Montserrat" w:hAnsi="Montserrat"/>
        </w:rPr>
        <w:t>r</w:t>
      </w:r>
      <w:r>
        <w:rPr>
          <w:rFonts w:ascii="Montserrat" w:hAnsi="Montserrat"/>
        </w:rPr>
        <w:t xml:space="preserve"> de</w:t>
      </w:r>
      <w:r w:rsidR="00297CC3">
        <w:rPr>
          <w:rFonts w:ascii="Montserrat" w:hAnsi="Montserrat"/>
        </w:rPr>
        <w:t xml:space="preserve"> la publicación del </w:t>
      </w:r>
      <w:r w:rsidR="00297CC3" w:rsidRPr="00EE1C3C">
        <w:rPr>
          <w:rFonts w:ascii="Montserrat" w:hAnsi="Montserrat"/>
          <w:i/>
          <w:iCs/>
        </w:rPr>
        <w:t>Programa Nacional de Combate a la Corrupción y a la Impunidad, y de Mejora de la Gestión Pública</w:t>
      </w:r>
      <w:r w:rsidR="0001100C" w:rsidRPr="00EE1C3C">
        <w:rPr>
          <w:rFonts w:ascii="Montserrat" w:hAnsi="Montserrat"/>
          <w:i/>
          <w:iCs/>
        </w:rPr>
        <w:t xml:space="preserve"> 2019-2024</w:t>
      </w:r>
      <w:r w:rsidR="0001100C">
        <w:rPr>
          <w:rFonts w:ascii="Montserrat" w:hAnsi="Montserrat"/>
        </w:rPr>
        <w:t xml:space="preserve">, el 30 de agosto de 2019, se estableció el compromiso para ECOSUR de llevar a cabo 47 acciones: </w:t>
      </w:r>
      <w:r w:rsidR="0001100C" w:rsidRPr="00215368">
        <w:rPr>
          <w:rFonts w:ascii="Montserrat" w:hAnsi="Montserrat"/>
          <w:color w:val="000000" w:themeColor="text1"/>
        </w:rPr>
        <w:t xml:space="preserve">8 del </w:t>
      </w:r>
      <w:r w:rsidR="0001100C">
        <w:rPr>
          <w:rFonts w:ascii="Montserrat" w:hAnsi="Montserrat"/>
          <w:color w:val="000000" w:themeColor="text1"/>
        </w:rPr>
        <w:t>objetivo 1 Combate a</w:t>
      </w:r>
      <w:r w:rsidR="0001100C" w:rsidRPr="00215368">
        <w:rPr>
          <w:rFonts w:ascii="Montserrat" w:hAnsi="Montserrat"/>
          <w:color w:val="000000" w:themeColor="text1"/>
        </w:rPr>
        <w:t xml:space="preserve"> la corrupción; 10 del </w:t>
      </w:r>
      <w:r w:rsidR="0001100C">
        <w:rPr>
          <w:rFonts w:ascii="Montserrat" w:hAnsi="Montserrat"/>
          <w:color w:val="000000" w:themeColor="text1"/>
        </w:rPr>
        <w:t xml:space="preserve">objetivo 2 </w:t>
      </w:r>
      <w:r w:rsidR="00AA2EC8">
        <w:rPr>
          <w:rFonts w:ascii="Montserrat" w:hAnsi="Montserrat"/>
          <w:color w:val="000000" w:themeColor="text1"/>
        </w:rPr>
        <w:t>Combate</w:t>
      </w:r>
      <w:r w:rsidR="0001100C">
        <w:rPr>
          <w:rFonts w:ascii="Montserrat" w:hAnsi="Montserrat"/>
          <w:color w:val="000000" w:themeColor="text1"/>
        </w:rPr>
        <w:t xml:space="preserve"> impunidad</w:t>
      </w:r>
      <w:r w:rsidR="0001100C" w:rsidRPr="00215368">
        <w:rPr>
          <w:rFonts w:ascii="Montserrat" w:hAnsi="Montserrat"/>
          <w:color w:val="000000" w:themeColor="text1"/>
        </w:rPr>
        <w:t xml:space="preserve">; 12 del </w:t>
      </w:r>
      <w:r w:rsidR="0001100C">
        <w:rPr>
          <w:rFonts w:ascii="Montserrat" w:hAnsi="Montserrat"/>
          <w:color w:val="000000" w:themeColor="text1"/>
        </w:rPr>
        <w:t>objetivo 3</w:t>
      </w:r>
      <w:r w:rsidR="0001100C" w:rsidRPr="00215368">
        <w:rPr>
          <w:rFonts w:ascii="Montserrat" w:hAnsi="Montserrat"/>
          <w:color w:val="000000" w:themeColor="text1"/>
        </w:rPr>
        <w:t xml:space="preserve"> </w:t>
      </w:r>
      <w:r w:rsidR="0001100C">
        <w:rPr>
          <w:rFonts w:ascii="Montserrat" w:hAnsi="Montserrat"/>
          <w:color w:val="000000" w:themeColor="text1"/>
        </w:rPr>
        <w:t>M</w:t>
      </w:r>
      <w:r w:rsidR="0001100C" w:rsidRPr="00215368">
        <w:rPr>
          <w:rFonts w:ascii="Montserrat" w:hAnsi="Montserrat"/>
          <w:color w:val="000000" w:themeColor="text1"/>
        </w:rPr>
        <w:t xml:space="preserve">ejora de la gestión pública; 10 del </w:t>
      </w:r>
      <w:r w:rsidR="0001100C">
        <w:rPr>
          <w:rFonts w:ascii="Montserrat" w:hAnsi="Montserrat"/>
          <w:color w:val="000000" w:themeColor="text1"/>
        </w:rPr>
        <w:t>objetivo 4</w:t>
      </w:r>
      <w:r w:rsidR="0001100C" w:rsidRPr="00215368">
        <w:rPr>
          <w:rFonts w:ascii="Montserrat" w:hAnsi="Montserrat"/>
          <w:color w:val="000000" w:themeColor="text1"/>
        </w:rPr>
        <w:t xml:space="preserve"> </w:t>
      </w:r>
      <w:r w:rsidR="0001100C">
        <w:rPr>
          <w:rFonts w:ascii="Montserrat" w:hAnsi="Montserrat"/>
          <w:color w:val="000000" w:themeColor="text1"/>
        </w:rPr>
        <w:t xml:space="preserve">Programa de </w:t>
      </w:r>
      <w:r w:rsidR="0001100C" w:rsidRPr="00215368">
        <w:rPr>
          <w:rFonts w:ascii="Montserrat" w:hAnsi="Montserrat"/>
          <w:color w:val="000000" w:themeColor="text1"/>
        </w:rPr>
        <w:t xml:space="preserve">recursos humanos y 7 del </w:t>
      </w:r>
      <w:r w:rsidR="0001100C">
        <w:rPr>
          <w:rFonts w:ascii="Montserrat" w:hAnsi="Montserrat"/>
          <w:color w:val="000000" w:themeColor="text1"/>
        </w:rPr>
        <w:t>objetivo 5</w:t>
      </w:r>
      <w:r w:rsidR="0001100C" w:rsidRPr="00215368">
        <w:rPr>
          <w:rFonts w:ascii="Montserrat" w:hAnsi="Montserrat"/>
          <w:color w:val="000000" w:themeColor="text1"/>
        </w:rPr>
        <w:t xml:space="preserve"> </w:t>
      </w:r>
      <w:r w:rsidR="0001100C">
        <w:rPr>
          <w:rFonts w:ascii="Montserrat" w:hAnsi="Montserrat"/>
          <w:color w:val="000000" w:themeColor="text1"/>
        </w:rPr>
        <w:t>U</w:t>
      </w:r>
      <w:r w:rsidR="0001100C" w:rsidRPr="00215368">
        <w:rPr>
          <w:rFonts w:ascii="Montserrat" w:hAnsi="Montserrat"/>
          <w:color w:val="000000" w:themeColor="text1"/>
        </w:rPr>
        <w:t xml:space="preserve">so de bienes. Igualmente, </w:t>
      </w:r>
      <w:r w:rsidR="0001100C">
        <w:rPr>
          <w:rFonts w:ascii="Montserrat" w:hAnsi="Montserrat"/>
          <w:color w:val="000000" w:themeColor="text1"/>
        </w:rPr>
        <w:t>se</w:t>
      </w:r>
      <w:r w:rsidR="0001100C" w:rsidRPr="00215368">
        <w:rPr>
          <w:rFonts w:ascii="Montserrat" w:hAnsi="Montserrat"/>
          <w:color w:val="000000" w:themeColor="text1"/>
        </w:rPr>
        <w:t xml:space="preserve"> </w:t>
      </w:r>
      <w:r w:rsidR="002A7F5E">
        <w:rPr>
          <w:rFonts w:ascii="Montserrat" w:hAnsi="Montserrat"/>
          <w:color w:val="000000" w:themeColor="text1"/>
        </w:rPr>
        <w:t>asumen</w:t>
      </w:r>
      <w:r w:rsidR="00692ACE">
        <w:rPr>
          <w:rFonts w:ascii="Montserrat" w:hAnsi="Montserrat"/>
          <w:color w:val="000000" w:themeColor="text1"/>
        </w:rPr>
        <w:t xml:space="preserve"> </w:t>
      </w:r>
      <w:r w:rsidR="0001100C" w:rsidRPr="00215368">
        <w:rPr>
          <w:rFonts w:ascii="Montserrat" w:hAnsi="Montserrat"/>
          <w:color w:val="000000" w:themeColor="text1"/>
        </w:rPr>
        <w:t>11 indicadores</w:t>
      </w:r>
      <w:r w:rsidR="0001100C">
        <w:rPr>
          <w:rFonts w:ascii="Montserrat" w:hAnsi="Montserrat"/>
          <w:color w:val="000000" w:themeColor="text1"/>
        </w:rPr>
        <w:t xml:space="preserve">, </w:t>
      </w:r>
      <w:r w:rsidR="001A3F34">
        <w:rPr>
          <w:rFonts w:ascii="Montserrat" w:hAnsi="Montserrat"/>
          <w:color w:val="000000" w:themeColor="text1"/>
        </w:rPr>
        <w:t>aunque</w:t>
      </w:r>
      <w:r w:rsidR="0001100C">
        <w:rPr>
          <w:rFonts w:ascii="Montserrat" w:hAnsi="Montserrat"/>
          <w:color w:val="000000" w:themeColor="text1"/>
        </w:rPr>
        <w:t xml:space="preserve"> solo </w:t>
      </w:r>
      <w:r w:rsidR="001A3F34">
        <w:rPr>
          <w:rFonts w:ascii="Montserrat" w:hAnsi="Montserrat"/>
          <w:color w:val="000000" w:themeColor="text1"/>
        </w:rPr>
        <w:t>7</w:t>
      </w:r>
      <w:r w:rsidR="0001100C">
        <w:rPr>
          <w:rFonts w:ascii="Montserrat" w:hAnsi="Montserrat"/>
          <w:color w:val="000000" w:themeColor="text1"/>
        </w:rPr>
        <w:t xml:space="preserve"> aplican para este periodo.</w:t>
      </w:r>
    </w:p>
    <w:p w14:paraId="1C20D460" w14:textId="716E6BAF" w:rsidR="00D12C48" w:rsidRDefault="00692ACE" w:rsidP="00692ACE">
      <w:pPr>
        <w:spacing w:line="276" w:lineRule="auto"/>
        <w:jc w:val="both"/>
        <w:rPr>
          <w:rFonts w:ascii="Montserrat" w:hAnsi="Montserrat"/>
          <w:color w:val="000000" w:themeColor="text1"/>
        </w:rPr>
      </w:pPr>
      <w:r>
        <w:rPr>
          <w:rFonts w:ascii="Montserrat" w:hAnsi="Montserrat"/>
          <w:color w:val="000000" w:themeColor="text1"/>
        </w:rPr>
        <w:t xml:space="preserve">En la primera quincena de </w:t>
      </w:r>
      <w:r w:rsidR="006A183F">
        <w:rPr>
          <w:rFonts w:ascii="Montserrat" w:hAnsi="Montserrat"/>
          <w:color w:val="000000" w:themeColor="text1"/>
        </w:rPr>
        <w:t>octubre</w:t>
      </w:r>
      <w:r>
        <w:rPr>
          <w:rFonts w:ascii="Montserrat" w:hAnsi="Montserrat"/>
          <w:color w:val="000000" w:themeColor="text1"/>
        </w:rPr>
        <w:t xml:space="preserve"> </w:t>
      </w:r>
      <w:r w:rsidR="009C5CEA">
        <w:rPr>
          <w:rFonts w:ascii="Montserrat" w:hAnsi="Montserrat"/>
          <w:color w:val="000000" w:themeColor="text1"/>
        </w:rPr>
        <w:t xml:space="preserve">la institución informó </w:t>
      </w:r>
      <w:r w:rsidR="00EE1C3C">
        <w:rPr>
          <w:rFonts w:ascii="Montserrat" w:hAnsi="Montserrat"/>
          <w:color w:val="000000" w:themeColor="text1"/>
        </w:rPr>
        <w:t xml:space="preserve">en tiempo y forma </w:t>
      </w:r>
      <w:r w:rsidR="009C5CEA">
        <w:rPr>
          <w:rFonts w:ascii="Montserrat" w:hAnsi="Montserrat"/>
          <w:color w:val="000000" w:themeColor="text1"/>
        </w:rPr>
        <w:t xml:space="preserve">de </w:t>
      </w:r>
      <w:r>
        <w:rPr>
          <w:rFonts w:ascii="Montserrat" w:hAnsi="Montserrat"/>
          <w:color w:val="000000" w:themeColor="text1"/>
        </w:rPr>
        <w:t xml:space="preserve">los </w:t>
      </w:r>
      <w:r w:rsidR="009C5CEA">
        <w:rPr>
          <w:rFonts w:ascii="Montserrat" w:hAnsi="Montserrat"/>
          <w:color w:val="000000" w:themeColor="text1"/>
        </w:rPr>
        <w:t>avances</w:t>
      </w:r>
      <w:r>
        <w:rPr>
          <w:rFonts w:ascii="Montserrat" w:hAnsi="Montserrat"/>
          <w:color w:val="000000" w:themeColor="text1"/>
        </w:rPr>
        <w:t xml:space="preserve"> del </w:t>
      </w:r>
      <w:r w:rsidR="006A183F">
        <w:rPr>
          <w:rFonts w:ascii="Montserrat" w:hAnsi="Montserrat"/>
          <w:color w:val="000000" w:themeColor="text1"/>
        </w:rPr>
        <w:t>tercer</w:t>
      </w:r>
      <w:r>
        <w:rPr>
          <w:rFonts w:ascii="Montserrat" w:hAnsi="Montserrat"/>
          <w:color w:val="000000" w:themeColor="text1"/>
        </w:rPr>
        <w:t xml:space="preserve"> trimestre 2020</w:t>
      </w:r>
      <w:r w:rsidR="00EE1C3C">
        <w:rPr>
          <w:rFonts w:ascii="Montserrat" w:hAnsi="Montserrat"/>
          <w:color w:val="000000" w:themeColor="text1"/>
        </w:rPr>
        <w:t>,</w:t>
      </w:r>
      <w:r>
        <w:rPr>
          <w:rFonts w:ascii="Montserrat" w:hAnsi="Montserrat"/>
          <w:color w:val="000000" w:themeColor="text1"/>
        </w:rPr>
        <w:t xml:space="preserve"> </w:t>
      </w:r>
      <w:r w:rsidR="009C5CEA">
        <w:rPr>
          <w:rFonts w:ascii="Montserrat" w:hAnsi="Montserrat"/>
          <w:color w:val="000000" w:themeColor="text1"/>
        </w:rPr>
        <w:t>a través</w:t>
      </w:r>
      <w:r>
        <w:rPr>
          <w:rFonts w:ascii="Montserrat" w:hAnsi="Montserrat"/>
          <w:color w:val="000000" w:themeColor="text1"/>
        </w:rPr>
        <w:t xml:space="preserve"> </w:t>
      </w:r>
      <w:r w:rsidR="009C5CEA">
        <w:rPr>
          <w:rFonts w:ascii="Montserrat" w:hAnsi="Montserrat"/>
          <w:color w:val="000000" w:themeColor="text1"/>
        </w:rPr>
        <w:t>d</w:t>
      </w:r>
      <w:r w:rsidRPr="00215368">
        <w:rPr>
          <w:rFonts w:ascii="Montserrat" w:hAnsi="Montserrat"/>
          <w:color w:val="000000" w:themeColor="text1"/>
        </w:rPr>
        <w:t xml:space="preserve">el sistema habilitado en el </w:t>
      </w:r>
      <w:r>
        <w:rPr>
          <w:rFonts w:ascii="Montserrat" w:hAnsi="Montserrat"/>
          <w:color w:val="000000" w:themeColor="text1"/>
        </w:rPr>
        <w:t>P</w:t>
      </w:r>
      <w:r w:rsidRPr="00215368">
        <w:rPr>
          <w:rFonts w:ascii="Montserrat" w:hAnsi="Montserrat"/>
          <w:color w:val="000000" w:themeColor="text1"/>
        </w:rPr>
        <w:t>ortal de Aplicaciones de la SHCP</w:t>
      </w:r>
      <w:r>
        <w:rPr>
          <w:rFonts w:ascii="Montserrat" w:hAnsi="Montserrat"/>
          <w:color w:val="000000" w:themeColor="text1"/>
        </w:rPr>
        <w:t>. Se anexa</w:t>
      </w:r>
      <w:r w:rsidR="002954E7">
        <w:rPr>
          <w:rFonts w:ascii="Montserrat" w:hAnsi="Montserrat"/>
          <w:color w:val="000000" w:themeColor="text1"/>
        </w:rPr>
        <w:t>n</w:t>
      </w:r>
      <w:r>
        <w:rPr>
          <w:rFonts w:ascii="Montserrat" w:hAnsi="Montserrat"/>
          <w:color w:val="000000" w:themeColor="text1"/>
        </w:rPr>
        <w:t xml:space="preserve"> copia</w:t>
      </w:r>
      <w:r w:rsidR="002954E7">
        <w:rPr>
          <w:rFonts w:ascii="Montserrat" w:hAnsi="Montserrat"/>
          <w:color w:val="000000" w:themeColor="text1"/>
        </w:rPr>
        <w:t>s</w:t>
      </w:r>
      <w:r>
        <w:rPr>
          <w:rFonts w:ascii="Montserrat" w:hAnsi="Montserrat"/>
          <w:color w:val="000000" w:themeColor="text1"/>
        </w:rPr>
        <w:t xml:space="preserve"> del reporte</w:t>
      </w:r>
      <w:r w:rsidR="00EE1C3C">
        <w:rPr>
          <w:rFonts w:ascii="Montserrat" w:hAnsi="Montserrat"/>
          <w:color w:val="000000" w:themeColor="text1"/>
        </w:rPr>
        <w:t xml:space="preserve">. </w:t>
      </w:r>
    </w:p>
    <w:p w14:paraId="30468A7D" w14:textId="397421DC" w:rsidR="00E80501" w:rsidRPr="00EC7DA9" w:rsidRDefault="00E80501" w:rsidP="00E80501">
      <w:pPr>
        <w:spacing w:after="0" w:line="276" w:lineRule="auto"/>
        <w:jc w:val="both"/>
        <w:rPr>
          <w:rFonts w:ascii="Montserrat" w:hAnsi="Montserrat"/>
          <w:color w:val="000000" w:themeColor="text1"/>
          <w:sz w:val="20"/>
          <w:szCs w:val="20"/>
        </w:rPr>
      </w:pPr>
      <w:r w:rsidRPr="00EC7DA9">
        <w:rPr>
          <w:rFonts w:ascii="Montserrat" w:hAnsi="Montserrat"/>
          <w:color w:val="000000" w:themeColor="text1"/>
          <w:sz w:val="20"/>
          <w:szCs w:val="20"/>
        </w:rPr>
        <w:t>Tabla 1. Avances en compromisos e indicadores en el tercer trimestre 2020</w:t>
      </w:r>
    </w:p>
    <w:tbl>
      <w:tblPr>
        <w:tblStyle w:val="Tablaconcuadrcula"/>
        <w:tblW w:w="0" w:type="auto"/>
        <w:tblInd w:w="-5" w:type="dxa"/>
        <w:tblLook w:val="04A0" w:firstRow="1" w:lastRow="0" w:firstColumn="1" w:lastColumn="0" w:noHBand="0" w:noVBand="1"/>
      </w:tblPr>
      <w:tblGrid>
        <w:gridCol w:w="1843"/>
        <w:gridCol w:w="1843"/>
        <w:gridCol w:w="1984"/>
        <w:gridCol w:w="1560"/>
        <w:gridCol w:w="1603"/>
      </w:tblGrid>
      <w:tr w:rsidR="00C657EC" w:rsidRPr="00C657EC" w14:paraId="03CA7683" w14:textId="77777777" w:rsidTr="00EC7DA9">
        <w:trPr>
          <w:trHeight w:val="1229"/>
        </w:trPr>
        <w:tc>
          <w:tcPr>
            <w:tcW w:w="1843" w:type="dxa"/>
            <w:tcBorders>
              <w:right w:val="double" w:sz="4" w:space="0" w:color="auto"/>
            </w:tcBorders>
          </w:tcPr>
          <w:p w14:paraId="3A09E451" w14:textId="3D5BC92C" w:rsidR="00C657EC" w:rsidRPr="00C657EC" w:rsidRDefault="00692ACE" w:rsidP="009368CE">
            <w:pPr>
              <w:spacing w:after="0" w:line="276" w:lineRule="auto"/>
              <w:jc w:val="center"/>
              <w:rPr>
                <w:rFonts w:ascii="Montserrat" w:hAnsi="Montserrat"/>
                <w:b/>
                <w:bCs/>
                <w:sz w:val="20"/>
                <w:szCs w:val="20"/>
              </w:rPr>
            </w:pPr>
            <w:r>
              <w:rPr>
                <w:rFonts w:ascii="Montserrat" w:hAnsi="Montserrat"/>
                <w:color w:val="000000" w:themeColor="text1"/>
              </w:rPr>
              <w:t xml:space="preserve"> </w:t>
            </w:r>
            <w:r w:rsidR="00C657EC" w:rsidRPr="00C657EC">
              <w:rPr>
                <w:rFonts w:ascii="Montserrat" w:hAnsi="Montserrat"/>
                <w:b/>
                <w:bCs/>
                <w:sz w:val="20"/>
                <w:szCs w:val="20"/>
              </w:rPr>
              <w:t>Programa</w:t>
            </w:r>
          </w:p>
        </w:tc>
        <w:tc>
          <w:tcPr>
            <w:tcW w:w="1843" w:type="dxa"/>
            <w:tcBorders>
              <w:left w:val="double" w:sz="4" w:space="0" w:color="auto"/>
            </w:tcBorders>
            <w:shd w:val="clear" w:color="auto" w:fill="DEEAF6" w:themeFill="accent5" w:themeFillTint="33"/>
          </w:tcPr>
          <w:p w14:paraId="2888C760" w14:textId="311E3AA3" w:rsidR="00C657EC" w:rsidRPr="00C657EC" w:rsidRDefault="00C657EC" w:rsidP="009368CE">
            <w:pPr>
              <w:spacing w:after="0" w:line="276" w:lineRule="auto"/>
              <w:jc w:val="center"/>
              <w:rPr>
                <w:rFonts w:ascii="Montserrat" w:hAnsi="Montserrat"/>
                <w:b/>
                <w:bCs/>
                <w:sz w:val="20"/>
                <w:szCs w:val="20"/>
              </w:rPr>
            </w:pPr>
            <w:r w:rsidRPr="00C657EC">
              <w:rPr>
                <w:rFonts w:ascii="Montserrat" w:hAnsi="Montserrat"/>
                <w:b/>
                <w:bCs/>
                <w:sz w:val="20"/>
                <w:szCs w:val="20"/>
              </w:rPr>
              <w:t>Compromisos con acciones realizadas</w:t>
            </w:r>
          </w:p>
        </w:tc>
        <w:tc>
          <w:tcPr>
            <w:tcW w:w="1984" w:type="dxa"/>
            <w:tcBorders>
              <w:right w:val="double" w:sz="4" w:space="0" w:color="auto"/>
            </w:tcBorders>
          </w:tcPr>
          <w:p w14:paraId="22558073" w14:textId="735A729B" w:rsidR="00C657EC" w:rsidRPr="00C657EC" w:rsidRDefault="00C657EC" w:rsidP="009368CE">
            <w:pPr>
              <w:spacing w:after="0" w:line="276" w:lineRule="auto"/>
              <w:jc w:val="center"/>
              <w:rPr>
                <w:rFonts w:ascii="Montserrat" w:hAnsi="Montserrat"/>
                <w:b/>
                <w:bCs/>
                <w:sz w:val="20"/>
                <w:szCs w:val="20"/>
              </w:rPr>
            </w:pPr>
            <w:r w:rsidRPr="00C657EC">
              <w:rPr>
                <w:rFonts w:ascii="Montserrat" w:hAnsi="Montserrat"/>
                <w:b/>
                <w:bCs/>
                <w:sz w:val="20"/>
                <w:szCs w:val="20"/>
              </w:rPr>
              <w:t>Compromisos sin avances o no aplicables en el trimestre</w:t>
            </w:r>
          </w:p>
        </w:tc>
        <w:tc>
          <w:tcPr>
            <w:tcW w:w="1560" w:type="dxa"/>
            <w:tcBorders>
              <w:left w:val="double" w:sz="4" w:space="0" w:color="auto"/>
            </w:tcBorders>
            <w:shd w:val="clear" w:color="auto" w:fill="DEEAF6" w:themeFill="accent5" w:themeFillTint="33"/>
          </w:tcPr>
          <w:p w14:paraId="452D75B2" w14:textId="651DC337" w:rsidR="00C657EC" w:rsidRPr="00C657EC" w:rsidRDefault="00C657EC" w:rsidP="009368CE">
            <w:pPr>
              <w:spacing w:after="0" w:line="276" w:lineRule="auto"/>
              <w:jc w:val="center"/>
              <w:rPr>
                <w:rFonts w:ascii="Montserrat" w:hAnsi="Montserrat"/>
                <w:b/>
                <w:bCs/>
                <w:sz w:val="20"/>
                <w:szCs w:val="20"/>
              </w:rPr>
            </w:pPr>
            <w:r w:rsidRPr="00C657EC">
              <w:rPr>
                <w:rFonts w:ascii="Montserrat" w:hAnsi="Montserrat"/>
                <w:b/>
                <w:bCs/>
                <w:sz w:val="20"/>
                <w:szCs w:val="20"/>
              </w:rPr>
              <w:t>Indicador con reporte</w:t>
            </w:r>
          </w:p>
        </w:tc>
        <w:tc>
          <w:tcPr>
            <w:tcW w:w="1603" w:type="dxa"/>
          </w:tcPr>
          <w:p w14:paraId="7C091729" w14:textId="68D12900" w:rsidR="00C657EC" w:rsidRPr="00C657EC" w:rsidRDefault="00C657EC" w:rsidP="009368CE">
            <w:pPr>
              <w:spacing w:after="0" w:line="276" w:lineRule="auto"/>
              <w:jc w:val="center"/>
              <w:rPr>
                <w:rFonts w:ascii="Montserrat" w:hAnsi="Montserrat"/>
                <w:b/>
                <w:bCs/>
                <w:sz w:val="20"/>
                <w:szCs w:val="20"/>
              </w:rPr>
            </w:pPr>
            <w:r w:rsidRPr="00C657EC">
              <w:rPr>
                <w:rFonts w:ascii="Montserrat" w:hAnsi="Montserrat"/>
                <w:b/>
                <w:bCs/>
                <w:sz w:val="20"/>
                <w:szCs w:val="20"/>
              </w:rPr>
              <w:t>Indicador sin información a reportar</w:t>
            </w:r>
          </w:p>
        </w:tc>
      </w:tr>
      <w:tr w:rsidR="00C657EC" w:rsidRPr="00C657EC" w14:paraId="49B109D3" w14:textId="77777777" w:rsidTr="00EC7DA9">
        <w:tc>
          <w:tcPr>
            <w:tcW w:w="1843" w:type="dxa"/>
            <w:tcBorders>
              <w:right w:val="double" w:sz="4" w:space="0" w:color="auto"/>
            </w:tcBorders>
          </w:tcPr>
          <w:p w14:paraId="09312163" w14:textId="190F5356" w:rsidR="00AA2EC8" w:rsidRPr="00C657EC" w:rsidRDefault="00AA2EC8" w:rsidP="009368CE">
            <w:pPr>
              <w:spacing w:after="0" w:line="276" w:lineRule="auto"/>
              <w:jc w:val="both"/>
              <w:rPr>
                <w:rFonts w:ascii="Montserrat" w:hAnsi="Montserrat"/>
                <w:sz w:val="20"/>
                <w:szCs w:val="20"/>
              </w:rPr>
            </w:pPr>
            <w:r>
              <w:rPr>
                <w:rFonts w:ascii="Montserrat" w:hAnsi="Montserrat"/>
                <w:sz w:val="20"/>
                <w:szCs w:val="20"/>
              </w:rPr>
              <w:t>Combate Corrupción (CC)</w:t>
            </w:r>
          </w:p>
        </w:tc>
        <w:tc>
          <w:tcPr>
            <w:tcW w:w="1843" w:type="dxa"/>
            <w:tcBorders>
              <w:left w:val="double" w:sz="4" w:space="0" w:color="auto"/>
            </w:tcBorders>
            <w:shd w:val="clear" w:color="auto" w:fill="DEEAF6" w:themeFill="accent5" w:themeFillTint="33"/>
          </w:tcPr>
          <w:p w14:paraId="3CDA835E" w14:textId="72A10788" w:rsidR="00C657EC" w:rsidRPr="00C657EC" w:rsidRDefault="006A183F" w:rsidP="009368CE">
            <w:pPr>
              <w:spacing w:after="0" w:line="276" w:lineRule="auto"/>
              <w:jc w:val="center"/>
              <w:rPr>
                <w:rFonts w:ascii="Montserrat" w:hAnsi="Montserrat"/>
                <w:sz w:val="20"/>
                <w:szCs w:val="20"/>
              </w:rPr>
            </w:pPr>
            <w:r>
              <w:rPr>
                <w:rFonts w:ascii="Montserrat" w:hAnsi="Montserrat"/>
                <w:sz w:val="20"/>
                <w:szCs w:val="20"/>
              </w:rPr>
              <w:t>5</w:t>
            </w:r>
          </w:p>
        </w:tc>
        <w:tc>
          <w:tcPr>
            <w:tcW w:w="1984" w:type="dxa"/>
            <w:tcBorders>
              <w:right w:val="double" w:sz="4" w:space="0" w:color="auto"/>
            </w:tcBorders>
          </w:tcPr>
          <w:p w14:paraId="25EE9407" w14:textId="0478031D" w:rsidR="00C657EC" w:rsidRPr="00C657EC" w:rsidRDefault="006A183F" w:rsidP="009368CE">
            <w:pPr>
              <w:spacing w:after="0" w:line="276" w:lineRule="auto"/>
              <w:jc w:val="center"/>
              <w:rPr>
                <w:rFonts w:ascii="Montserrat" w:hAnsi="Montserrat"/>
                <w:sz w:val="20"/>
                <w:szCs w:val="20"/>
              </w:rPr>
            </w:pPr>
            <w:r>
              <w:rPr>
                <w:rFonts w:ascii="Montserrat" w:hAnsi="Montserrat"/>
                <w:sz w:val="20"/>
                <w:szCs w:val="20"/>
              </w:rPr>
              <w:t>3</w:t>
            </w:r>
          </w:p>
        </w:tc>
        <w:tc>
          <w:tcPr>
            <w:tcW w:w="1560" w:type="dxa"/>
            <w:tcBorders>
              <w:left w:val="double" w:sz="4" w:space="0" w:color="auto"/>
            </w:tcBorders>
            <w:shd w:val="clear" w:color="auto" w:fill="DEEAF6" w:themeFill="accent5" w:themeFillTint="33"/>
          </w:tcPr>
          <w:p w14:paraId="4CB19314" w14:textId="4BA62C3E" w:rsidR="00C657EC" w:rsidRPr="00C657EC" w:rsidRDefault="00730B9B" w:rsidP="009368CE">
            <w:pPr>
              <w:spacing w:after="0" w:line="276" w:lineRule="auto"/>
              <w:jc w:val="center"/>
              <w:rPr>
                <w:rFonts w:ascii="Montserrat" w:hAnsi="Montserrat"/>
                <w:sz w:val="20"/>
                <w:szCs w:val="20"/>
              </w:rPr>
            </w:pPr>
            <w:r>
              <w:rPr>
                <w:rFonts w:ascii="Montserrat" w:hAnsi="Montserrat"/>
                <w:sz w:val="20"/>
                <w:szCs w:val="20"/>
              </w:rPr>
              <w:t>0</w:t>
            </w:r>
          </w:p>
        </w:tc>
        <w:tc>
          <w:tcPr>
            <w:tcW w:w="1603" w:type="dxa"/>
          </w:tcPr>
          <w:p w14:paraId="53644B7E" w14:textId="23DF9C8B" w:rsidR="00C657EC" w:rsidRPr="00C657EC" w:rsidRDefault="00730B9B" w:rsidP="009368CE">
            <w:pPr>
              <w:spacing w:after="0" w:line="276" w:lineRule="auto"/>
              <w:jc w:val="center"/>
              <w:rPr>
                <w:rFonts w:ascii="Montserrat" w:hAnsi="Montserrat"/>
                <w:sz w:val="20"/>
                <w:szCs w:val="20"/>
              </w:rPr>
            </w:pPr>
            <w:r>
              <w:rPr>
                <w:rFonts w:ascii="Montserrat" w:hAnsi="Montserrat"/>
                <w:sz w:val="20"/>
                <w:szCs w:val="20"/>
              </w:rPr>
              <w:t>2</w:t>
            </w:r>
          </w:p>
        </w:tc>
      </w:tr>
      <w:tr w:rsidR="00C657EC" w:rsidRPr="00C657EC" w14:paraId="12C070EF" w14:textId="77777777" w:rsidTr="00EC7DA9">
        <w:tc>
          <w:tcPr>
            <w:tcW w:w="1843" w:type="dxa"/>
            <w:tcBorders>
              <w:right w:val="double" w:sz="4" w:space="0" w:color="auto"/>
            </w:tcBorders>
          </w:tcPr>
          <w:p w14:paraId="27D2B075" w14:textId="24BF9288" w:rsidR="00C657EC" w:rsidRPr="00C657EC" w:rsidRDefault="00AA2EC8" w:rsidP="009368CE">
            <w:pPr>
              <w:spacing w:after="0" w:line="276" w:lineRule="auto"/>
              <w:jc w:val="both"/>
              <w:rPr>
                <w:rFonts w:ascii="Montserrat" w:hAnsi="Montserrat"/>
                <w:sz w:val="20"/>
                <w:szCs w:val="20"/>
              </w:rPr>
            </w:pPr>
            <w:r>
              <w:rPr>
                <w:rFonts w:ascii="Montserrat" w:hAnsi="Montserrat"/>
                <w:sz w:val="20"/>
                <w:szCs w:val="20"/>
              </w:rPr>
              <w:t>Combate Impunidad (CI)</w:t>
            </w:r>
          </w:p>
        </w:tc>
        <w:tc>
          <w:tcPr>
            <w:tcW w:w="1843" w:type="dxa"/>
            <w:tcBorders>
              <w:left w:val="double" w:sz="4" w:space="0" w:color="auto"/>
            </w:tcBorders>
            <w:shd w:val="clear" w:color="auto" w:fill="DEEAF6" w:themeFill="accent5" w:themeFillTint="33"/>
          </w:tcPr>
          <w:p w14:paraId="58C832F2" w14:textId="3719972A" w:rsidR="00C657EC" w:rsidRPr="00C657EC" w:rsidRDefault="00AA2EC8" w:rsidP="009368CE">
            <w:pPr>
              <w:spacing w:after="0" w:line="276" w:lineRule="auto"/>
              <w:jc w:val="center"/>
              <w:rPr>
                <w:rFonts w:ascii="Montserrat" w:hAnsi="Montserrat"/>
                <w:sz w:val="20"/>
                <w:szCs w:val="20"/>
              </w:rPr>
            </w:pPr>
            <w:r>
              <w:rPr>
                <w:rFonts w:ascii="Montserrat" w:hAnsi="Montserrat"/>
                <w:sz w:val="20"/>
                <w:szCs w:val="20"/>
              </w:rPr>
              <w:t>6</w:t>
            </w:r>
          </w:p>
        </w:tc>
        <w:tc>
          <w:tcPr>
            <w:tcW w:w="1984" w:type="dxa"/>
            <w:tcBorders>
              <w:right w:val="double" w:sz="4" w:space="0" w:color="auto"/>
            </w:tcBorders>
          </w:tcPr>
          <w:p w14:paraId="135761D5" w14:textId="6BC8F275" w:rsidR="00C657EC" w:rsidRPr="00C657EC" w:rsidRDefault="00AA2EC8" w:rsidP="009368CE">
            <w:pPr>
              <w:spacing w:after="0" w:line="276" w:lineRule="auto"/>
              <w:jc w:val="center"/>
              <w:rPr>
                <w:rFonts w:ascii="Montserrat" w:hAnsi="Montserrat"/>
                <w:sz w:val="20"/>
                <w:szCs w:val="20"/>
              </w:rPr>
            </w:pPr>
            <w:r>
              <w:rPr>
                <w:rFonts w:ascii="Montserrat" w:hAnsi="Montserrat"/>
                <w:sz w:val="20"/>
                <w:szCs w:val="20"/>
              </w:rPr>
              <w:t>4</w:t>
            </w:r>
          </w:p>
        </w:tc>
        <w:tc>
          <w:tcPr>
            <w:tcW w:w="1560" w:type="dxa"/>
            <w:tcBorders>
              <w:left w:val="double" w:sz="4" w:space="0" w:color="auto"/>
            </w:tcBorders>
            <w:shd w:val="clear" w:color="auto" w:fill="DEEAF6" w:themeFill="accent5" w:themeFillTint="33"/>
          </w:tcPr>
          <w:p w14:paraId="1A50DBC8" w14:textId="170A684B" w:rsidR="00C657EC" w:rsidRPr="00C657EC" w:rsidRDefault="00AA2EC8" w:rsidP="009368CE">
            <w:pPr>
              <w:spacing w:after="0" w:line="276" w:lineRule="auto"/>
              <w:jc w:val="center"/>
              <w:rPr>
                <w:rFonts w:ascii="Montserrat" w:hAnsi="Montserrat"/>
                <w:sz w:val="20"/>
                <w:szCs w:val="20"/>
              </w:rPr>
            </w:pPr>
            <w:r>
              <w:rPr>
                <w:rFonts w:ascii="Montserrat" w:hAnsi="Montserrat"/>
                <w:sz w:val="20"/>
                <w:szCs w:val="20"/>
              </w:rPr>
              <w:t>2</w:t>
            </w:r>
          </w:p>
        </w:tc>
        <w:tc>
          <w:tcPr>
            <w:tcW w:w="1603" w:type="dxa"/>
          </w:tcPr>
          <w:p w14:paraId="2B0C525D" w14:textId="054FCD68" w:rsidR="00C657EC" w:rsidRPr="00C657EC" w:rsidRDefault="00AA2EC8" w:rsidP="009368CE">
            <w:pPr>
              <w:spacing w:after="0" w:line="276" w:lineRule="auto"/>
              <w:jc w:val="center"/>
              <w:rPr>
                <w:rFonts w:ascii="Montserrat" w:hAnsi="Montserrat"/>
                <w:sz w:val="20"/>
                <w:szCs w:val="20"/>
              </w:rPr>
            </w:pPr>
            <w:r>
              <w:rPr>
                <w:rFonts w:ascii="Montserrat" w:hAnsi="Montserrat"/>
                <w:sz w:val="20"/>
                <w:szCs w:val="20"/>
              </w:rPr>
              <w:t>1</w:t>
            </w:r>
          </w:p>
        </w:tc>
      </w:tr>
      <w:tr w:rsidR="00C657EC" w:rsidRPr="00C657EC" w14:paraId="16C48BC4" w14:textId="77777777" w:rsidTr="00EC7DA9">
        <w:tc>
          <w:tcPr>
            <w:tcW w:w="1843" w:type="dxa"/>
            <w:tcBorders>
              <w:right w:val="double" w:sz="4" w:space="0" w:color="auto"/>
            </w:tcBorders>
          </w:tcPr>
          <w:p w14:paraId="7BB94EAC" w14:textId="78394DC6" w:rsidR="00C657EC" w:rsidRPr="00C657EC" w:rsidRDefault="00AA2EC8" w:rsidP="009368CE">
            <w:pPr>
              <w:spacing w:after="0" w:line="276" w:lineRule="auto"/>
              <w:rPr>
                <w:rFonts w:ascii="Montserrat" w:hAnsi="Montserrat"/>
                <w:sz w:val="20"/>
                <w:szCs w:val="20"/>
              </w:rPr>
            </w:pPr>
            <w:r>
              <w:rPr>
                <w:rFonts w:ascii="Montserrat" w:hAnsi="Montserrat"/>
                <w:sz w:val="20"/>
                <w:szCs w:val="20"/>
              </w:rPr>
              <w:t>Mejora Gestión Pública</w:t>
            </w:r>
            <w:r w:rsidR="0081492E">
              <w:rPr>
                <w:rFonts w:ascii="Montserrat" w:hAnsi="Montserrat"/>
                <w:sz w:val="20"/>
                <w:szCs w:val="20"/>
              </w:rPr>
              <w:t xml:space="preserve"> (MGP)</w:t>
            </w:r>
          </w:p>
        </w:tc>
        <w:tc>
          <w:tcPr>
            <w:tcW w:w="1843" w:type="dxa"/>
            <w:tcBorders>
              <w:left w:val="double" w:sz="4" w:space="0" w:color="auto"/>
            </w:tcBorders>
            <w:shd w:val="clear" w:color="auto" w:fill="DEEAF6" w:themeFill="accent5" w:themeFillTint="33"/>
          </w:tcPr>
          <w:p w14:paraId="0F0C1220" w14:textId="571618D3" w:rsidR="00C657EC" w:rsidRPr="00C657EC" w:rsidRDefault="00AA2EC8" w:rsidP="009368CE">
            <w:pPr>
              <w:spacing w:after="0" w:line="276" w:lineRule="auto"/>
              <w:jc w:val="center"/>
              <w:rPr>
                <w:rFonts w:ascii="Montserrat" w:hAnsi="Montserrat"/>
                <w:sz w:val="20"/>
                <w:szCs w:val="20"/>
              </w:rPr>
            </w:pPr>
            <w:r>
              <w:rPr>
                <w:rFonts w:ascii="Montserrat" w:hAnsi="Montserrat"/>
                <w:sz w:val="20"/>
                <w:szCs w:val="20"/>
              </w:rPr>
              <w:t>1</w:t>
            </w:r>
            <w:r w:rsidR="00A52A8E">
              <w:rPr>
                <w:rFonts w:ascii="Montserrat" w:hAnsi="Montserrat"/>
                <w:sz w:val="20"/>
                <w:szCs w:val="20"/>
              </w:rPr>
              <w:t>2</w:t>
            </w:r>
          </w:p>
        </w:tc>
        <w:tc>
          <w:tcPr>
            <w:tcW w:w="1984" w:type="dxa"/>
            <w:tcBorders>
              <w:right w:val="double" w:sz="4" w:space="0" w:color="auto"/>
            </w:tcBorders>
          </w:tcPr>
          <w:p w14:paraId="5D200FFE" w14:textId="2FC899AD" w:rsidR="00C657EC" w:rsidRPr="00C657EC" w:rsidRDefault="00A52A8E" w:rsidP="009368CE">
            <w:pPr>
              <w:spacing w:after="0" w:line="276" w:lineRule="auto"/>
              <w:jc w:val="center"/>
              <w:rPr>
                <w:rFonts w:ascii="Montserrat" w:hAnsi="Montserrat"/>
                <w:sz w:val="20"/>
                <w:szCs w:val="20"/>
              </w:rPr>
            </w:pPr>
            <w:r>
              <w:rPr>
                <w:rFonts w:ascii="Montserrat" w:hAnsi="Montserrat"/>
                <w:sz w:val="20"/>
                <w:szCs w:val="20"/>
              </w:rPr>
              <w:t>0</w:t>
            </w:r>
          </w:p>
        </w:tc>
        <w:tc>
          <w:tcPr>
            <w:tcW w:w="1560" w:type="dxa"/>
            <w:tcBorders>
              <w:left w:val="double" w:sz="4" w:space="0" w:color="auto"/>
            </w:tcBorders>
            <w:shd w:val="clear" w:color="auto" w:fill="DEEAF6" w:themeFill="accent5" w:themeFillTint="33"/>
          </w:tcPr>
          <w:p w14:paraId="32127038" w14:textId="74174D6C" w:rsidR="00C657EC" w:rsidRPr="00C657EC" w:rsidRDefault="00AA2EC8" w:rsidP="009368CE">
            <w:pPr>
              <w:spacing w:after="0" w:line="276" w:lineRule="auto"/>
              <w:jc w:val="center"/>
              <w:rPr>
                <w:rFonts w:ascii="Montserrat" w:hAnsi="Montserrat"/>
                <w:sz w:val="20"/>
                <w:szCs w:val="20"/>
              </w:rPr>
            </w:pPr>
            <w:r>
              <w:rPr>
                <w:rFonts w:ascii="Montserrat" w:hAnsi="Montserrat"/>
                <w:sz w:val="20"/>
                <w:szCs w:val="20"/>
              </w:rPr>
              <w:t>0</w:t>
            </w:r>
          </w:p>
        </w:tc>
        <w:tc>
          <w:tcPr>
            <w:tcW w:w="1603" w:type="dxa"/>
          </w:tcPr>
          <w:p w14:paraId="0867F23C" w14:textId="3D022298" w:rsidR="00C657EC" w:rsidRPr="00C657EC" w:rsidRDefault="00AA2EC8" w:rsidP="009368CE">
            <w:pPr>
              <w:spacing w:after="0" w:line="276" w:lineRule="auto"/>
              <w:jc w:val="center"/>
              <w:rPr>
                <w:rFonts w:ascii="Montserrat" w:hAnsi="Montserrat"/>
                <w:sz w:val="20"/>
                <w:szCs w:val="20"/>
              </w:rPr>
            </w:pPr>
            <w:r>
              <w:rPr>
                <w:rFonts w:ascii="Montserrat" w:hAnsi="Montserrat"/>
                <w:sz w:val="20"/>
                <w:szCs w:val="20"/>
              </w:rPr>
              <w:t>0</w:t>
            </w:r>
          </w:p>
        </w:tc>
      </w:tr>
      <w:tr w:rsidR="00C657EC" w:rsidRPr="00C657EC" w14:paraId="10C5B21D" w14:textId="77777777" w:rsidTr="00EC7DA9">
        <w:tc>
          <w:tcPr>
            <w:tcW w:w="1843" w:type="dxa"/>
            <w:tcBorders>
              <w:right w:val="double" w:sz="4" w:space="0" w:color="auto"/>
            </w:tcBorders>
          </w:tcPr>
          <w:p w14:paraId="0D3298E0" w14:textId="74A94AC4" w:rsidR="00C657EC" w:rsidRPr="00C657EC" w:rsidRDefault="00AA2EC8" w:rsidP="009368CE">
            <w:pPr>
              <w:spacing w:after="0" w:line="276" w:lineRule="auto"/>
              <w:jc w:val="both"/>
              <w:rPr>
                <w:rFonts w:ascii="Montserrat" w:hAnsi="Montserrat"/>
                <w:sz w:val="20"/>
                <w:szCs w:val="20"/>
              </w:rPr>
            </w:pPr>
            <w:r>
              <w:rPr>
                <w:rFonts w:ascii="Montserrat" w:hAnsi="Montserrat"/>
                <w:sz w:val="20"/>
                <w:szCs w:val="20"/>
              </w:rPr>
              <w:t>Recursos Humanos (PRH)</w:t>
            </w:r>
          </w:p>
        </w:tc>
        <w:tc>
          <w:tcPr>
            <w:tcW w:w="1843" w:type="dxa"/>
            <w:tcBorders>
              <w:left w:val="double" w:sz="4" w:space="0" w:color="auto"/>
            </w:tcBorders>
            <w:shd w:val="clear" w:color="auto" w:fill="DEEAF6" w:themeFill="accent5" w:themeFillTint="33"/>
          </w:tcPr>
          <w:p w14:paraId="691F8577" w14:textId="5756CC95" w:rsidR="00C657EC" w:rsidRPr="00C657EC" w:rsidRDefault="00A52A8E" w:rsidP="009368CE">
            <w:pPr>
              <w:spacing w:after="0" w:line="276" w:lineRule="auto"/>
              <w:jc w:val="center"/>
              <w:rPr>
                <w:rFonts w:ascii="Montserrat" w:hAnsi="Montserrat"/>
                <w:sz w:val="20"/>
                <w:szCs w:val="20"/>
              </w:rPr>
            </w:pPr>
            <w:r>
              <w:rPr>
                <w:rFonts w:ascii="Montserrat" w:hAnsi="Montserrat"/>
                <w:sz w:val="20"/>
                <w:szCs w:val="20"/>
              </w:rPr>
              <w:t>8</w:t>
            </w:r>
          </w:p>
        </w:tc>
        <w:tc>
          <w:tcPr>
            <w:tcW w:w="1984" w:type="dxa"/>
            <w:tcBorders>
              <w:right w:val="double" w:sz="4" w:space="0" w:color="auto"/>
            </w:tcBorders>
          </w:tcPr>
          <w:p w14:paraId="795019FE" w14:textId="7A02CF8D" w:rsidR="00C657EC" w:rsidRPr="00C657EC" w:rsidRDefault="00A52A8E" w:rsidP="009368CE">
            <w:pPr>
              <w:spacing w:after="0" w:line="276" w:lineRule="auto"/>
              <w:jc w:val="center"/>
              <w:rPr>
                <w:rFonts w:ascii="Montserrat" w:hAnsi="Montserrat"/>
                <w:sz w:val="20"/>
                <w:szCs w:val="20"/>
              </w:rPr>
            </w:pPr>
            <w:r>
              <w:rPr>
                <w:rFonts w:ascii="Montserrat" w:hAnsi="Montserrat"/>
                <w:sz w:val="20"/>
                <w:szCs w:val="20"/>
              </w:rPr>
              <w:t>2</w:t>
            </w:r>
          </w:p>
        </w:tc>
        <w:tc>
          <w:tcPr>
            <w:tcW w:w="1560" w:type="dxa"/>
            <w:tcBorders>
              <w:left w:val="double" w:sz="4" w:space="0" w:color="auto"/>
            </w:tcBorders>
            <w:shd w:val="clear" w:color="auto" w:fill="DEEAF6" w:themeFill="accent5" w:themeFillTint="33"/>
          </w:tcPr>
          <w:p w14:paraId="11021778" w14:textId="38257FDD" w:rsidR="00C657EC" w:rsidRPr="00C657EC" w:rsidRDefault="00AA2EC8" w:rsidP="009368CE">
            <w:pPr>
              <w:spacing w:after="0" w:line="276" w:lineRule="auto"/>
              <w:jc w:val="center"/>
              <w:rPr>
                <w:rFonts w:ascii="Montserrat" w:hAnsi="Montserrat"/>
                <w:sz w:val="20"/>
                <w:szCs w:val="20"/>
              </w:rPr>
            </w:pPr>
            <w:r>
              <w:rPr>
                <w:rFonts w:ascii="Montserrat" w:hAnsi="Montserrat"/>
                <w:sz w:val="20"/>
                <w:szCs w:val="20"/>
              </w:rPr>
              <w:t>1</w:t>
            </w:r>
          </w:p>
        </w:tc>
        <w:tc>
          <w:tcPr>
            <w:tcW w:w="1603" w:type="dxa"/>
          </w:tcPr>
          <w:p w14:paraId="184B032E" w14:textId="11A7138F" w:rsidR="00C657EC" w:rsidRPr="00C657EC" w:rsidRDefault="00AA2EC8" w:rsidP="009368CE">
            <w:pPr>
              <w:spacing w:after="0" w:line="276" w:lineRule="auto"/>
              <w:jc w:val="center"/>
              <w:rPr>
                <w:rFonts w:ascii="Montserrat" w:hAnsi="Montserrat"/>
                <w:sz w:val="20"/>
                <w:szCs w:val="20"/>
              </w:rPr>
            </w:pPr>
            <w:r>
              <w:rPr>
                <w:rFonts w:ascii="Montserrat" w:hAnsi="Montserrat"/>
                <w:sz w:val="20"/>
                <w:szCs w:val="20"/>
              </w:rPr>
              <w:t>1</w:t>
            </w:r>
          </w:p>
        </w:tc>
      </w:tr>
      <w:tr w:rsidR="00201A51" w:rsidRPr="00C657EC" w14:paraId="58E4F1F3" w14:textId="77777777" w:rsidTr="00EC7DA9">
        <w:tc>
          <w:tcPr>
            <w:tcW w:w="1843" w:type="dxa"/>
            <w:tcBorders>
              <w:bottom w:val="double" w:sz="4" w:space="0" w:color="auto"/>
              <w:right w:val="double" w:sz="4" w:space="0" w:color="auto"/>
            </w:tcBorders>
          </w:tcPr>
          <w:p w14:paraId="4CD6FAF7" w14:textId="16ADDACB" w:rsidR="00201A51" w:rsidRPr="00C657EC" w:rsidRDefault="00AA2EC8" w:rsidP="009368CE">
            <w:pPr>
              <w:spacing w:after="0" w:line="276" w:lineRule="auto"/>
              <w:jc w:val="both"/>
              <w:rPr>
                <w:rFonts w:ascii="Montserrat" w:hAnsi="Montserrat"/>
                <w:sz w:val="20"/>
                <w:szCs w:val="20"/>
              </w:rPr>
            </w:pPr>
            <w:r>
              <w:rPr>
                <w:rFonts w:ascii="Montserrat" w:hAnsi="Montserrat"/>
                <w:sz w:val="20"/>
                <w:szCs w:val="20"/>
              </w:rPr>
              <w:t>Uso de Bienes (UB)</w:t>
            </w:r>
          </w:p>
        </w:tc>
        <w:tc>
          <w:tcPr>
            <w:tcW w:w="1843" w:type="dxa"/>
            <w:tcBorders>
              <w:left w:val="double" w:sz="4" w:space="0" w:color="auto"/>
              <w:bottom w:val="double" w:sz="4" w:space="0" w:color="auto"/>
            </w:tcBorders>
            <w:shd w:val="clear" w:color="auto" w:fill="DEEAF6" w:themeFill="accent5" w:themeFillTint="33"/>
          </w:tcPr>
          <w:p w14:paraId="6E66B3B0" w14:textId="51A6195C" w:rsidR="00201A51" w:rsidRPr="00C657EC" w:rsidRDefault="00AA2EC8" w:rsidP="009368CE">
            <w:pPr>
              <w:spacing w:after="0" w:line="276" w:lineRule="auto"/>
              <w:jc w:val="center"/>
              <w:rPr>
                <w:rFonts w:ascii="Montserrat" w:hAnsi="Montserrat"/>
                <w:sz w:val="20"/>
                <w:szCs w:val="20"/>
              </w:rPr>
            </w:pPr>
            <w:r>
              <w:rPr>
                <w:rFonts w:ascii="Montserrat" w:hAnsi="Montserrat"/>
                <w:sz w:val="20"/>
                <w:szCs w:val="20"/>
              </w:rPr>
              <w:t>7</w:t>
            </w:r>
          </w:p>
        </w:tc>
        <w:tc>
          <w:tcPr>
            <w:tcW w:w="1984" w:type="dxa"/>
            <w:tcBorders>
              <w:bottom w:val="double" w:sz="4" w:space="0" w:color="auto"/>
              <w:right w:val="double" w:sz="4" w:space="0" w:color="auto"/>
            </w:tcBorders>
          </w:tcPr>
          <w:p w14:paraId="75085E98" w14:textId="6C27B20A" w:rsidR="00201A51" w:rsidRPr="00C657EC" w:rsidRDefault="00AA2EC8" w:rsidP="009368CE">
            <w:pPr>
              <w:spacing w:after="0" w:line="276" w:lineRule="auto"/>
              <w:jc w:val="center"/>
              <w:rPr>
                <w:rFonts w:ascii="Montserrat" w:hAnsi="Montserrat"/>
                <w:sz w:val="20"/>
                <w:szCs w:val="20"/>
              </w:rPr>
            </w:pPr>
            <w:r>
              <w:rPr>
                <w:rFonts w:ascii="Montserrat" w:hAnsi="Montserrat"/>
                <w:sz w:val="20"/>
                <w:szCs w:val="20"/>
              </w:rPr>
              <w:t>0</w:t>
            </w:r>
          </w:p>
        </w:tc>
        <w:tc>
          <w:tcPr>
            <w:tcW w:w="1560" w:type="dxa"/>
            <w:tcBorders>
              <w:left w:val="double" w:sz="4" w:space="0" w:color="auto"/>
              <w:bottom w:val="double" w:sz="4" w:space="0" w:color="auto"/>
            </w:tcBorders>
            <w:shd w:val="clear" w:color="auto" w:fill="DEEAF6" w:themeFill="accent5" w:themeFillTint="33"/>
          </w:tcPr>
          <w:p w14:paraId="5D21F091" w14:textId="1A5D6D20" w:rsidR="00201A51" w:rsidRPr="00C657EC" w:rsidRDefault="00730B9B" w:rsidP="009368CE">
            <w:pPr>
              <w:spacing w:after="0" w:line="276" w:lineRule="auto"/>
              <w:jc w:val="center"/>
              <w:rPr>
                <w:rFonts w:ascii="Montserrat" w:hAnsi="Montserrat"/>
                <w:sz w:val="20"/>
                <w:szCs w:val="20"/>
              </w:rPr>
            </w:pPr>
            <w:r>
              <w:rPr>
                <w:rFonts w:ascii="Montserrat" w:hAnsi="Montserrat"/>
                <w:sz w:val="20"/>
                <w:szCs w:val="20"/>
              </w:rPr>
              <w:t>0</w:t>
            </w:r>
          </w:p>
        </w:tc>
        <w:tc>
          <w:tcPr>
            <w:tcW w:w="1603" w:type="dxa"/>
            <w:tcBorders>
              <w:bottom w:val="double" w:sz="4" w:space="0" w:color="auto"/>
            </w:tcBorders>
          </w:tcPr>
          <w:p w14:paraId="7A16D48C" w14:textId="1C365BA2" w:rsidR="00201A51" w:rsidRPr="00C657EC" w:rsidRDefault="00AA2EC8" w:rsidP="009368CE">
            <w:pPr>
              <w:spacing w:after="0" w:line="276" w:lineRule="auto"/>
              <w:jc w:val="center"/>
              <w:rPr>
                <w:rFonts w:ascii="Montserrat" w:hAnsi="Montserrat"/>
                <w:sz w:val="20"/>
                <w:szCs w:val="20"/>
              </w:rPr>
            </w:pPr>
            <w:r>
              <w:rPr>
                <w:rFonts w:ascii="Montserrat" w:hAnsi="Montserrat"/>
                <w:sz w:val="20"/>
                <w:szCs w:val="20"/>
              </w:rPr>
              <w:t>0</w:t>
            </w:r>
          </w:p>
        </w:tc>
      </w:tr>
      <w:tr w:rsidR="00201A51" w:rsidRPr="00AA2EC8" w14:paraId="16E2D779" w14:textId="77777777" w:rsidTr="00EC7DA9">
        <w:tc>
          <w:tcPr>
            <w:tcW w:w="1843" w:type="dxa"/>
            <w:tcBorders>
              <w:top w:val="double" w:sz="4" w:space="0" w:color="auto"/>
              <w:right w:val="double" w:sz="4" w:space="0" w:color="auto"/>
            </w:tcBorders>
          </w:tcPr>
          <w:p w14:paraId="77D3FFAA" w14:textId="37B3497F" w:rsidR="00201A51" w:rsidRPr="00AA2EC8" w:rsidRDefault="00AA2EC8" w:rsidP="009368CE">
            <w:pPr>
              <w:spacing w:after="0" w:line="276" w:lineRule="auto"/>
              <w:jc w:val="both"/>
              <w:rPr>
                <w:rFonts w:ascii="Montserrat" w:hAnsi="Montserrat"/>
                <w:b/>
                <w:bCs/>
                <w:sz w:val="20"/>
                <w:szCs w:val="20"/>
              </w:rPr>
            </w:pPr>
            <w:r w:rsidRPr="00AA2EC8">
              <w:rPr>
                <w:rFonts w:ascii="Montserrat" w:hAnsi="Montserrat"/>
                <w:b/>
                <w:bCs/>
                <w:sz w:val="20"/>
                <w:szCs w:val="20"/>
              </w:rPr>
              <w:t>Total</w:t>
            </w:r>
          </w:p>
        </w:tc>
        <w:tc>
          <w:tcPr>
            <w:tcW w:w="1843" w:type="dxa"/>
            <w:tcBorders>
              <w:top w:val="double" w:sz="4" w:space="0" w:color="auto"/>
              <w:left w:val="double" w:sz="4" w:space="0" w:color="auto"/>
            </w:tcBorders>
            <w:shd w:val="clear" w:color="auto" w:fill="DEEAF6" w:themeFill="accent5" w:themeFillTint="33"/>
          </w:tcPr>
          <w:p w14:paraId="79E438FE" w14:textId="20BFE9F7" w:rsidR="00201A51" w:rsidRDefault="00AA2EC8" w:rsidP="009368CE">
            <w:pPr>
              <w:spacing w:after="0" w:line="276" w:lineRule="auto"/>
              <w:jc w:val="center"/>
              <w:rPr>
                <w:rFonts w:ascii="Montserrat" w:hAnsi="Montserrat"/>
                <w:b/>
                <w:bCs/>
                <w:sz w:val="20"/>
                <w:szCs w:val="20"/>
              </w:rPr>
            </w:pPr>
            <w:r>
              <w:rPr>
                <w:rFonts w:ascii="Montserrat" w:hAnsi="Montserrat"/>
                <w:b/>
                <w:bCs/>
                <w:sz w:val="20"/>
                <w:szCs w:val="20"/>
              </w:rPr>
              <w:t>3</w:t>
            </w:r>
            <w:r w:rsidR="00730B9B">
              <w:rPr>
                <w:rFonts w:ascii="Montserrat" w:hAnsi="Montserrat"/>
                <w:b/>
                <w:bCs/>
                <w:sz w:val="20"/>
                <w:szCs w:val="20"/>
              </w:rPr>
              <w:t>8</w:t>
            </w:r>
            <w:r w:rsidR="007B6F97">
              <w:rPr>
                <w:rFonts w:ascii="Montserrat" w:hAnsi="Montserrat"/>
                <w:b/>
                <w:bCs/>
                <w:sz w:val="20"/>
                <w:szCs w:val="20"/>
              </w:rPr>
              <w:t>/</w:t>
            </w:r>
            <w:r>
              <w:rPr>
                <w:rFonts w:ascii="Montserrat" w:hAnsi="Montserrat"/>
                <w:b/>
                <w:bCs/>
                <w:sz w:val="20"/>
                <w:szCs w:val="20"/>
              </w:rPr>
              <w:t>47</w:t>
            </w:r>
          </w:p>
          <w:p w14:paraId="1B042461" w14:textId="3BF607D4" w:rsidR="00C872A2" w:rsidRPr="00AA2EC8" w:rsidRDefault="00E80501" w:rsidP="009368CE">
            <w:pPr>
              <w:spacing w:after="0" w:line="276" w:lineRule="auto"/>
              <w:jc w:val="center"/>
              <w:rPr>
                <w:rFonts w:ascii="Montserrat" w:hAnsi="Montserrat"/>
                <w:b/>
                <w:bCs/>
                <w:sz w:val="20"/>
                <w:szCs w:val="20"/>
              </w:rPr>
            </w:pPr>
            <w:r>
              <w:rPr>
                <w:rFonts w:ascii="Montserrat" w:hAnsi="Montserrat"/>
                <w:b/>
                <w:bCs/>
                <w:sz w:val="20"/>
                <w:szCs w:val="20"/>
              </w:rPr>
              <w:t>(</w:t>
            </w:r>
            <w:r w:rsidR="00730B9B">
              <w:rPr>
                <w:rFonts w:ascii="Montserrat" w:hAnsi="Montserrat"/>
                <w:b/>
                <w:bCs/>
                <w:sz w:val="20"/>
                <w:szCs w:val="20"/>
              </w:rPr>
              <w:t>80</w:t>
            </w:r>
            <w:r w:rsidR="00C872A2">
              <w:rPr>
                <w:rFonts w:ascii="Montserrat" w:hAnsi="Montserrat"/>
                <w:b/>
                <w:bCs/>
                <w:sz w:val="20"/>
                <w:szCs w:val="20"/>
              </w:rPr>
              <w:t>.</w:t>
            </w:r>
            <w:r w:rsidR="00730B9B">
              <w:rPr>
                <w:rFonts w:ascii="Montserrat" w:hAnsi="Montserrat"/>
                <w:b/>
                <w:bCs/>
                <w:sz w:val="20"/>
                <w:szCs w:val="20"/>
              </w:rPr>
              <w:t>9</w:t>
            </w:r>
            <w:r w:rsidR="00C872A2">
              <w:rPr>
                <w:rFonts w:ascii="Montserrat" w:hAnsi="Montserrat"/>
                <w:b/>
                <w:bCs/>
                <w:sz w:val="20"/>
                <w:szCs w:val="20"/>
              </w:rPr>
              <w:t>%</w:t>
            </w:r>
            <w:r>
              <w:rPr>
                <w:rFonts w:ascii="Montserrat" w:hAnsi="Montserrat"/>
                <w:b/>
                <w:bCs/>
                <w:sz w:val="20"/>
                <w:szCs w:val="20"/>
              </w:rPr>
              <w:t>)</w:t>
            </w:r>
          </w:p>
        </w:tc>
        <w:tc>
          <w:tcPr>
            <w:tcW w:w="1984" w:type="dxa"/>
            <w:tcBorders>
              <w:top w:val="double" w:sz="4" w:space="0" w:color="auto"/>
              <w:right w:val="double" w:sz="4" w:space="0" w:color="auto"/>
            </w:tcBorders>
          </w:tcPr>
          <w:p w14:paraId="777EEA62" w14:textId="670A5652" w:rsidR="00201A51" w:rsidRDefault="00730B9B" w:rsidP="009368CE">
            <w:pPr>
              <w:spacing w:after="0" w:line="276" w:lineRule="auto"/>
              <w:jc w:val="center"/>
              <w:rPr>
                <w:rFonts w:ascii="Montserrat" w:hAnsi="Montserrat"/>
                <w:b/>
                <w:bCs/>
                <w:sz w:val="20"/>
                <w:szCs w:val="20"/>
              </w:rPr>
            </w:pPr>
            <w:r>
              <w:rPr>
                <w:rFonts w:ascii="Montserrat" w:hAnsi="Montserrat"/>
                <w:b/>
                <w:bCs/>
                <w:sz w:val="20"/>
                <w:szCs w:val="20"/>
              </w:rPr>
              <w:t>9</w:t>
            </w:r>
            <w:r w:rsidR="007B6F97">
              <w:rPr>
                <w:rFonts w:ascii="Montserrat" w:hAnsi="Montserrat"/>
                <w:b/>
                <w:bCs/>
                <w:sz w:val="20"/>
                <w:szCs w:val="20"/>
              </w:rPr>
              <w:t>/</w:t>
            </w:r>
            <w:r w:rsidR="00AA2EC8">
              <w:rPr>
                <w:rFonts w:ascii="Montserrat" w:hAnsi="Montserrat"/>
                <w:b/>
                <w:bCs/>
                <w:sz w:val="20"/>
                <w:szCs w:val="20"/>
              </w:rPr>
              <w:t>47</w:t>
            </w:r>
          </w:p>
          <w:p w14:paraId="08F46E64" w14:textId="08225FC5" w:rsidR="00C872A2" w:rsidRPr="00AA2EC8" w:rsidRDefault="00E80501" w:rsidP="009368CE">
            <w:pPr>
              <w:spacing w:after="0" w:line="276" w:lineRule="auto"/>
              <w:jc w:val="center"/>
              <w:rPr>
                <w:rFonts w:ascii="Montserrat" w:hAnsi="Montserrat"/>
                <w:b/>
                <w:bCs/>
                <w:sz w:val="20"/>
                <w:szCs w:val="20"/>
              </w:rPr>
            </w:pPr>
            <w:r>
              <w:rPr>
                <w:rFonts w:ascii="Montserrat" w:hAnsi="Montserrat"/>
                <w:b/>
                <w:bCs/>
                <w:sz w:val="20"/>
                <w:szCs w:val="20"/>
              </w:rPr>
              <w:t>(</w:t>
            </w:r>
            <w:r w:rsidR="00730B9B">
              <w:rPr>
                <w:rFonts w:ascii="Montserrat" w:hAnsi="Montserrat"/>
                <w:b/>
                <w:bCs/>
                <w:sz w:val="20"/>
                <w:szCs w:val="20"/>
              </w:rPr>
              <w:t>19</w:t>
            </w:r>
            <w:r w:rsidR="00C872A2">
              <w:rPr>
                <w:rFonts w:ascii="Montserrat" w:hAnsi="Montserrat"/>
                <w:b/>
                <w:bCs/>
                <w:sz w:val="20"/>
                <w:szCs w:val="20"/>
              </w:rPr>
              <w:t>.</w:t>
            </w:r>
            <w:r w:rsidR="00730B9B">
              <w:rPr>
                <w:rFonts w:ascii="Montserrat" w:hAnsi="Montserrat"/>
                <w:b/>
                <w:bCs/>
                <w:sz w:val="20"/>
                <w:szCs w:val="20"/>
              </w:rPr>
              <w:t>1</w:t>
            </w:r>
            <w:r w:rsidR="00C872A2">
              <w:rPr>
                <w:rFonts w:ascii="Montserrat" w:hAnsi="Montserrat"/>
                <w:b/>
                <w:bCs/>
                <w:sz w:val="20"/>
                <w:szCs w:val="20"/>
              </w:rPr>
              <w:t>%</w:t>
            </w:r>
            <w:r>
              <w:rPr>
                <w:rFonts w:ascii="Montserrat" w:hAnsi="Montserrat"/>
                <w:b/>
                <w:bCs/>
                <w:sz w:val="20"/>
                <w:szCs w:val="20"/>
              </w:rPr>
              <w:t>)</w:t>
            </w:r>
          </w:p>
        </w:tc>
        <w:tc>
          <w:tcPr>
            <w:tcW w:w="1560" w:type="dxa"/>
            <w:tcBorders>
              <w:top w:val="double" w:sz="4" w:space="0" w:color="auto"/>
              <w:left w:val="double" w:sz="4" w:space="0" w:color="auto"/>
            </w:tcBorders>
            <w:shd w:val="clear" w:color="auto" w:fill="DEEAF6" w:themeFill="accent5" w:themeFillTint="33"/>
          </w:tcPr>
          <w:p w14:paraId="76DAF709" w14:textId="4DD0B427" w:rsidR="00201A51" w:rsidRDefault="00730B9B" w:rsidP="009368CE">
            <w:pPr>
              <w:spacing w:after="0" w:line="276" w:lineRule="auto"/>
              <w:jc w:val="center"/>
              <w:rPr>
                <w:rFonts w:ascii="Montserrat" w:hAnsi="Montserrat"/>
                <w:b/>
                <w:bCs/>
                <w:sz w:val="20"/>
                <w:szCs w:val="20"/>
              </w:rPr>
            </w:pPr>
            <w:r>
              <w:rPr>
                <w:rFonts w:ascii="Montserrat" w:hAnsi="Montserrat"/>
                <w:b/>
                <w:bCs/>
                <w:sz w:val="20"/>
                <w:szCs w:val="20"/>
              </w:rPr>
              <w:t>3</w:t>
            </w:r>
            <w:r w:rsidR="007B6F97">
              <w:rPr>
                <w:rFonts w:ascii="Montserrat" w:hAnsi="Montserrat"/>
                <w:b/>
                <w:bCs/>
                <w:sz w:val="20"/>
                <w:szCs w:val="20"/>
              </w:rPr>
              <w:t>/</w:t>
            </w:r>
            <w:r>
              <w:rPr>
                <w:rFonts w:ascii="Montserrat" w:hAnsi="Montserrat"/>
                <w:b/>
                <w:bCs/>
                <w:sz w:val="20"/>
                <w:szCs w:val="20"/>
              </w:rPr>
              <w:t>7</w:t>
            </w:r>
          </w:p>
          <w:p w14:paraId="243B9AF1" w14:textId="65141FF9" w:rsidR="00C872A2" w:rsidRPr="00AA2EC8" w:rsidRDefault="00E80501" w:rsidP="009368CE">
            <w:pPr>
              <w:spacing w:after="0" w:line="276" w:lineRule="auto"/>
              <w:jc w:val="center"/>
              <w:rPr>
                <w:rFonts w:ascii="Montserrat" w:hAnsi="Montserrat"/>
                <w:b/>
                <w:bCs/>
                <w:sz w:val="20"/>
                <w:szCs w:val="20"/>
              </w:rPr>
            </w:pPr>
            <w:r>
              <w:rPr>
                <w:rFonts w:ascii="Montserrat" w:hAnsi="Montserrat"/>
                <w:b/>
                <w:bCs/>
                <w:sz w:val="20"/>
                <w:szCs w:val="20"/>
              </w:rPr>
              <w:t>(</w:t>
            </w:r>
            <w:r w:rsidR="00730B9B">
              <w:rPr>
                <w:rFonts w:ascii="Montserrat" w:hAnsi="Montserrat"/>
                <w:b/>
                <w:bCs/>
                <w:sz w:val="20"/>
                <w:szCs w:val="20"/>
              </w:rPr>
              <w:t>42.9%</w:t>
            </w:r>
            <w:r>
              <w:rPr>
                <w:rFonts w:ascii="Montserrat" w:hAnsi="Montserrat"/>
                <w:b/>
                <w:bCs/>
                <w:sz w:val="20"/>
                <w:szCs w:val="20"/>
              </w:rPr>
              <w:t>)</w:t>
            </w:r>
          </w:p>
        </w:tc>
        <w:tc>
          <w:tcPr>
            <w:tcW w:w="1603" w:type="dxa"/>
            <w:tcBorders>
              <w:top w:val="double" w:sz="4" w:space="0" w:color="auto"/>
            </w:tcBorders>
          </w:tcPr>
          <w:p w14:paraId="03D2EC79" w14:textId="2FDA29D9" w:rsidR="00201A51" w:rsidRDefault="00730B9B" w:rsidP="009368CE">
            <w:pPr>
              <w:spacing w:after="0" w:line="276" w:lineRule="auto"/>
              <w:jc w:val="center"/>
              <w:rPr>
                <w:rFonts w:ascii="Montserrat" w:hAnsi="Montserrat"/>
                <w:b/>
                <w:bCs/>
                <w:sz w:val="20"/>
                <w:szCs w:val="20"/>
              </w:rPr>
            </w:pPr>
            <w:r>
              <w:rPr>
                <w:rFonts w:ascii="Montserrat" w:hAnsi="Montserrat"/>
                <w:b/>
                <w:bCs/>
                <w:sz w:val="20"/>
                <w:szCs w:val="20"/>
              </w:rPr>
              <w:t>4</w:t>
            </w:r>
            <w:r w:rsidR="007B6F97">
              <w:rPr>
                <w:rFonts w:ascii="Montserrat" w:hAnsi="Montserrat"/>
                <w:b/>
                <w:bCs/>
                <w:sz w:val="20"/>
                <w:szCs w:val="20"/>
              </w:rPr>
              <w:t>/</w:t>
            </w:r>
            <w:r>
              <w:rPr>
                <w:rFonts w:ascii="Montserrat" w:hAnsi="Montserrat"/>
                <w:b/>
                <w:bCs/>
                <w:sz w:val="20"/>
                <w:szCs w:val="20"/>
              </w:rPr>
              <w:t>7</w:t>
            </w:r>
          </w:p>
          <w:p w14:paraId="1DB3D443" w14:textId="4930F7C7" w:rsidR="00C872A2" w:rsidRPr="00AA2EC8" w:rsidRDefault="00E80501" w:rsidP="009368CE">
            <w:pPr>
              <w:spacing w:after="0" w:line="276" w:lineRule="auto"/>
              <w:jc w:val="center"/>
              <w:rPr>
                <w:rFonts w:ascii="Montserrat" w:hAnsi="Montserrat"/>
                <w:b/>
                <w:bCs/>
                <w:sz w:val="20"/>
                <w:szCs w:val="20"/>
              </w:rPr>
            </w:pPr>
            <w:r>
              <w:rPr>
                <w:rFonts w:ascii="Montserrat" w:hAnsi="Montserrat"/>
                <w:b/>
                <w:bCs/>
                <w:sz w:val="20"/>
                <w:szCs w:val="20"/>
              </w:rPr>
              <w:t>(</w:t>
            </w:r>
            <w:r w:rsidR="00730B9B">
              <w:rPr>
                <w:rFonts w:ascii="Montserrat" w:hAnsi="Montserrat"/>
                <w:b/>
                <w:bCs/>
                <w:sz w:val="20"/>
                <w:szCs w:val="20"/>
              </w:rPr>
              <w:t>57.1</w:t>
            </w:r>
            <w:r w:rsidR="00C872A2">
              <w:rPr>
                <w:rFonts w:ascii="Montserrat" w:hAnsi="Montserrat"/>
                <w:b/>
                <w:bCs/>
                <w:sz w:val="20"/>
                <w:szCs w:val="20"/>
              </w:rPr>
              <w:t>%</w:t>
            </w:r>
            <w:r>
              <w:rPr>
                <w:rFonts w:ascii="Montserrat" w:hAnsi="Montserrat"/>
                <w:b/>
                <w:bCs/>
                <w:sz w:val="20"/>
                <w:szCs w:val="20"/>
              </w:rPr>
              <w:t>)</w:t>
            </w:r>
          </w:p>
        </w:tc>
      </w:tr>
    </w:tbl>
    <w:p w14:paraId="35CA7F86" w14:textId="01C5D8C4" w:rsidR="00C657EC" w:rsidRDefault="00C657EC" w:rsidP="00692ACE">
      <w:pPr>
        <w:spacing w:line="276" w:lineRule="auto"/>
        <w:jc w:val="both"/>
        <w:rPr>
          <w:rFonts w:ascii="Montserrat" w:hAnsi="Montserrat"/>
        </w:rPr>
      </w:pPr>
    </w:p>
    <w:p w14:paraId="54ACDE68" w14:textId="79837562" w:rsidR="00E80501" w:rsidRDefault="009575CD" w:rsidP="00692ACE">
      <w:pPr>
        <w:spacing w:line="276" w:lineRule="auto"/>
        <w:jc w:val="both"/>
        <w:rPr>
          <w:rFonts w:ascii="Montserrat" w:hAnsi="Montserrat"/>
        </w:rPr>
      </w:pPr>
      <w:r>
        <w:rPr>
          <w:rFonts w:ascii="Montserrat" w:hAnsi="Montserrat"/>
        </w:rPr>
        <w:lastRenderedPageBreak/>
        <w:t xml:space="preserve">La gráfica que sigue muestra el porcentaje de avances en los 47 compromisos </w:t>
      </w:r>
      <w:r w:rsidR="002A7F5E">
        <w:rPr>
          <w:rFonts w:ascii="Montserrat" w:hAnsi="Montserrat"/>
        </w:rPr>
        <w:t>para cada trimestre 2020.</w:t>
      </w:r>
    </w:p>
    <w:p w14:paraId="45C9719B" w14:textId="2A22CC7B" w:rsidR="009575CD" w:rsidRPr="002A7F5E" w:rsidRDefault="009575CD" w:rsidP="009575CD">
      <w:pPr>
        <w:spacing w:after="0" w:line="276" w:lineRule="auto"/>
        <w:ind w:left="851"/>
        <w:rPr>
          <w:rFonts w:ascii="Montserrat" w:hAnsi="Montserrat"/>
          <w:sz w:val="20"/>
          <w:szCs w:val="20"/>
        </w:rPr>
      </w:pPr>
      <w:r w:rsidRPr="002A7F5E">
        <w:rPr>
          <w:rFonts w:ascii="Montserrat" w:hAnsi="Montserrat"/>
          <w:sz w:val="20"/>
          <w:szCs w:val="20"/>
        </w:rPr>
        <w:t xml:space="preserve">Gráfica 1. </w:t>
      </w:r>
      <w:r w:rsidR="002A7F5E">
        <w:rPr>
          <w:rFonts w:ascii="Montserrat" w:hAnsi="Montserrat"/>
          <w:sz w:val="20"/>
          <w:szCs w:val="20"/>
        </w:rPr>
        <w:t>Porcentaje de acciones realizadas respecto</w:t>
      </w:r>
      <w:r w:rsidRPr="002A7F5E">
        <w:rPr>
          <w:rFonts w:ascii="Montserrat" w:hAnsi="Montserrat"/>
          <w:sz w:val="20"/>
          <w:szCs w:val="20"/>
        </w:rPr>
        <w:t xml:space="preserve"> a los 47 compromisos </w:t>
      </w:r>
    </w:p>
    <w:p w14:paraId="60C5222A" w14:textId="2B47D2AA" w:rsidR="009575CD" w:rsidRPr="002A7F5E" w:rsidRDefault="009575CD" w:rsidP="009575CD">
      <w:pPr>
        <w:spacing w:after="0" w:line="276" w:lineRule="auto"/>
        <w:ind w:left="1558" w:firstLine="566"/>
        <w:rPr>
          <w:rFonts w:ascii="Montserrat" w:hAnsi="Montserrat"/>
          <w:sz w:val="20"/>
          <w:szCs w:val="20"/>
        </w:rPr>
      </w:pPr>
      <w:r w:rsidRPr="002A7F5E">
        <w:rPr>
          <w:rFonts w:ascii="Montserrat" w:hAnsi="Montserrat"/>
          <w:sz w:val="20"/>
          <w:szCs w:val="20"/>
        </w:rPr>
        <w:t>del PNCCIMGP por trimestre (2020)</w:t>
      </w:r>
    </w:p>
    <w:p w14:paraId="6E677A55" w14:textId="40B0F82D" w:rsidR="00E80501" w:rsidRDefault="00E80501" w:rsidP="00E80501">
      <w:pPr>
        <w:spacing w:line="276" w:lineRule="auto"/>
        <w:jc w:val="center"/>
        <w:rPr>
          <w:rFonts w:ascii="Montserrat" w:hAnsi="Montserrat"/>
        </w:rPr>
      </w:pPr>
      <w:r>
        <w:rPr>
          <w:rFonts w:ascii="Montserrat" w:hAnsi="Montserrat"/>
          <w:noProof/>
        </w:rPr>
        <w:drawing>
          <wp:inline distT="0" distB="0" distL="0" distR="0" wp14:anchorId="61376235" wp14:editId="79B21A89">
            <wp:extent cx="4584700" cy="27559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82BC41D" w14:textId="77777777" w:rsidR="009575CD" w:rsidRDefault="009575CD" w:rsidP="00692ACE">
      <w:pPr>
        <w:spacing w:line="276" w:lineRule="auto"/>
        <w:jc w:val="both"/>
        <w:rPr>
          <w:rFonts w:ascii="Montserrat" w:hAnsi="Montserrat"/>
        </w:rPr>
      </w:pPr>
    </w:p>
    <w:p w14:paraId="512743C2" w14:textId="77777777" w:rsidR="009575CD" w:rsidRDefault="009575CD" w:rsidP="00692ACE">
      <w:pPr>
        <w:spacing w:line="276" w:lineRule="auto"/>
        <w:jc w:val="both"/>
        <w:rPr>
          <w:rFonts w:ascii="Montserrat" w:hAnsi="Montserrat"/>
        </w:rPr>
      </w:pPr>
      <w:r>
        <w:rPr>
          <w:rFonts w:ascii="Montserrat" w:hAnsi="Montserrat"/>
        </w:rPr>
        <w:t xml:space="preserve">A lo largo del año 2020, ha mejorado la respuesta institucional a los compromisos marcados por el PNCCIMGP. Pasó de 23 respuestas con acciones en el primer trimestre, a 35 en el segundo y 38 en el tercero (respectivamente 48.9%, 74.5% y 80.9%). </w:t>
      </w:r>
    </w:p>
    <w:p w14:paraId="6774C041" w14:textId="004F5B5B" w:rsidR="009575CD" w:rsidRDefault="006F3551" w:rsidP="00692ACE">
      <w:pPr>
        <w:spacing w:line="276" w:lineRule="auto"/>
        <w:jc w:val="both"/>
        <w:rPr>
          <w:rFonts w:ascii="Montserrat" w:hAnsi="Montserrat"/>
        </w:rPr>
      </w:pPr>
      <w:r>
        <w:rPr>
          <w:rFonts w:ascii="Montserrat" w:hAnsi="Montserrat"/>
        </w:rPr>
        <w:t>En cuanto a los indicadores, pasaron de 2 reportados sobre 7 en el primer trimestre (28.6%) a 5 sobre 8 para el segundo trimestre (62.5%); y a 3</w:t>
      </w:r>
      <w:r w:rsidR="00C5734A">
        <w:rPr>
          <w:rFonts w:ascii="Montserrat" w:hAnsi="Montserrat"/>
        </w:rPr>
        <w:t xml:space="preserve"> sobre </w:t>
      </w:r>
      <w:r>
        <w:rPr>
          <w:rFonts w:ascii="Montserrat" w:hAnsi="Montserrat"/>
        </w:rPr>
        <w:t xml:space="preserve">7 en este tercer trimestre (42.9%). </w:t>
      </w:r>
      <w:r w:rsidR="0093247C">
        <w:rPr>
          <w:rFonts w:ascii="Montserrat" w:hAnsi="Montserrat"/>
        </w:rPr>
        <w:t xml:space="preserve">La baja se debe a instrucciones recientes de la SFP de no reportar el indicador ICC1. </w:t>
      </w:r>
      <w:r w:rsidR="0093247C" w:rsidRPr="0093247C">
        <w:rPr>
          <w:rFonts w:ascii="Montserrat" w:hAnsi="Montserrat"/>
          <w:i/>
          <w:iCs/>
        </w:rPr>
        <w:t>Porcentaje de contratos registrados en la bitácora electrónica de seguimiento de adquisiciones</w:t>
      </w:r>
      <w:r w:rsidR="0093247C">
        <w:rPr>
          <w:rFonts w:ascii="Montserrat" w:hAnsi="Montserrat"/>
        </w:rPr>
        <w:t>, hasta que se nos notifique la liberación del sistema de registro.</w:t>
      </w:r>
    </w:p>
    <w:p w14:paraId="14AE7065" w14:textId="17C8ED9B" w:rsidR="00BF6138" w:rsidRDefault="00BF6138" w:rsidP="00692ACE">
      <w:pPr>
        <w:spacing w:line="276" w:lineRule="auto"/>
        <w:jc w:val="both"/>
        <w:rPr>
          <w:rFonts w:ascii="Montserrat" w:hAnsi="Montserrat"/>
        </w:rPr>
      </w:pPr>
      <w:r>
        <w:rPr>
          <w:rFonts w:ascii="Montserrat" w:hAnsi="Montserrat"/>
        </w:rPr>
        <w:t xml:space="preserve">A continuación, se proporciona información sobre los compromisos sin acciones realizadas. Es interesante notar que, sobre los 9 compromisos sin acciones en </w:t>
      </w:r>
      <w:r>
        <w:rPr>
          <w:rFonts w:ascii="Montserrat" w:hAnsi="Montserrat"/>
        </w:rPr>
        <w:lastRenderedPageBreak/>
        <w:t>e</w:t>
      </w:r>
      <w:r w:rsidR="0081492E">
        <w:rPr>
          <w:rFonts w:ascii="Montserrat" w:hAnsi="Montserrat"/>
        </w:rPr>
        <w:t>ste tercer</w:t>
      </w:r>
      <w:r>
        <w:rPr>
          <w:rFonts w:ascii="Montserrat" w:hAnsi="Montserrat"/>
        </w:rPr>
        <w:t xml:space="preserve"> trimestre, 6 de ellos no se pudieron contestar por razones ajenas a la </w:t>
      </w:r>
      <w:r w:rsidR="007B3488">
        <w:rPr>
          <w:rFonts w:ascii="Montserrat" w:hAnsi="Montserrat"/>
        </w:rPr>
        <w:t>falta de compromiso e interés</w:t>
      </w:r>
      <w:r w:rsidR="00C8370D">
        <w:rPr>
          <w:rFonts w:ascii="Montserrat" w:hAnsi="Montserrat"/>
        </w:rPr>
        <w:t xml:space="preserve"> de la institución</w:t>
      </w:r>
      <w:r w:rsidR="007B3488">
        <w:rPr>
          <w:rFonts w:ascii="Montserrat" w:hAnsi="Montserrat"/>
        </w:rPr>
        <w:t>, como lo muestra la tabla que sigue.</w:t>
      </w:r>
    </w:p>
    <w:p w14:paraId="2BB10743" w14:textId="32498687" w:rsidR="00BF6138" w:rsidRPr="0081492E" w:rsidRDefault="007B3488" w:rsidP="007B3488">
      <w:pPr>
        <w:spacing w:after="0" w:line="276" w:lineRule="auto"/>
        <w:jc w:val="both"/>
        <w:rPr>
          <w:rFonts w:ascii="Montserrat" w:hAnsi="Montserrat"/>
          <w:sz w:val="20"/>
          <w:szCs w:val="20"/>
        </w:rPr>
      </w:pPr>
      <w:r w:rsidRPr="0081492E">
        <w:rPr>
          <w:rFonts w:ascii="Montserrat" w:hAnsi="Montserrat"/>
          <w:sz w:val="20"/>
          <w:szCs w:val="20"/>
        </w:rPr>
        <w:t>Tabla 2. Justificación de los compromisos sin avances en el tercer trimestre 2020</w:t>
      </w:r>
    </w:p>
    <w:tbl>
      <w:tblPr>
        <w:tblStyle w:val="Tablaconcuadrcula"/>
        <w:tblW w:w="9776" w:type="dxa"/>
        <w:tblLook w:val="04A0" w:firstRow="1" w:lastRow="0" w:firstColumn="1" w:lastColumn="0" w:noHBand="0" w:noVBand="1"/>
      </w:tblPr>
      <w:tblGrid>
        <w:gridCol w:w="914"/>
        <w:gridCol w:w="4103"/>
        <w:gridCol w:w="4759"/>
      </w:tblGrid>
      <w:tr w:rsidR="005E13F6" w:rsidRPr="001F05E5" w14:paraId="16C2FD50" w14:textId="77777777" w:rsidTr="003C06FB">
        <w:tc>
          <w:tcPr>
            <w:tcW w:w="914" w:type="dxa"/>
          </w:tcPr>
          <w:p w14:paraId="2B8449CD" w14:textId="77777777" w:rsidR="005E13F6" w:rsidRPr="001F05E5" w:rsidRDefault="005E13F6" w:rsidP="001F05E5">
            <w:pPr>
              <w:spacing w:after="0" w:line="240" w:lineRule="auto"/>
              <w:jc w:val="both"/>
              <w:rPr>
                <w:rFonts w:ascii="Montserrat" w:hAnsi="Montserrat"/>
                <w:sz w:val="20"/>
                <w:szCs w:val="20"/>
              </w:rPr>
            </w:pPr>
          </w:p>
        </w:tc>
        <w:tc>
          <w:tcPr>
            <w:tcW w:w="4103" w:type="dxa"/>
          </w:tcPr>
          <w:p w14:paraId="0D101584" w14:textId="7D8BEF01" w:rsidR="005E13F6" w:rsidRPr="007B6F97" w:rsidRDefault="001F05E5" w:rsidP="001F05E5">
            <w:pPr>
              <w:spacing w:after="0" w:line="240" w:lineRule="auto"/>
              <w:jc w:val="center"/>
              <w:rPr>
                <w:rFonts w:ascii="Montserrat" w:hAnsi="Montserrat"/>
                <w:b/>
                <w:bCs/>
                <w:sz w:val="20"/>
                <w:szCs w:val="20"/>
              </w:rPr>
            </w:pPr>
            <w:r w:rsidRPr="007B6F97">
              <w:rPr>
                <w:rFonts w:ascii="Montserrat" w:hAnsi="Montserrat"/>
                <w:b/>
                <w:bCs/>
                <w:sz w:val="20"/>
                <w:szCs w:val="20"/>
              </w:rPr>
              <w:t xml:space="preserve">Compromisos sin avances </w:t>
            </w:r>
          </w:p>
        </w:tc>
        <w:tc>
          <w:tcPr>
            <w:tcW w:w="4759" w:type="dxa"/>
          </w:tcPr>
          <w:p w14:paraId="3D162CD7" w14:textId="1054F741" w:rsidR="005E13F6" w:rsidRPr="007B6F97" w:rsidRDefault="001F05E5" w:rsidP="001F05E5">
            <w:pPr>
              <w:spacing w:after="0" w:line="240" w:lineRule="auto"/>
              <w:jc w:val="center"/>
              <w:rPr>
                <w:rFonts w:ascii="Montserrat" w:hAnsi="Montserrat"/>
                <w:b/>
                <w:bCs/>
                <w:sz w:val="20"/>
                <w:szCs w:val="20"/>
              </w:rPr>
            </w:pPr>
            <w:r w:rsidRPr="007B6F97">
              <w:rPr>
                <w:rFonts w:ascii="Montserrat" w:hAnsi="Montserrat"/>
                <w:b/>
                <w:bCs/>
                <w:sz w:val="20"/>
                <w:szCs w:val="20"/>
              </w:rPr>
              <w:t>Justificación</w:t>
            </w:r>
          </w:p>
        </w:tc>
      </w:tr>
      <w:tr w:rsidR="005E13F6" w:rsidRPr="001F05E5" w14:paraId="57F44B5A" w14:textId="77777777" w:rsidTr="003C06FB">
        <w:tc>
          <w:tcPr>
            <w:tcW w:w="914" w:type="dxa"/>
          </w:tcPr>
          <w:p w14:paraId="517CAB4C" w14:textId="32F0CA28" w:rsidR="005E13F6" w:rsidRPr="001F05E5" w:rsidRDefault="001F05E5" w:rsidP="001F05E5">
            <w:pPr>
              <w:spacing w:after="0" w:line="240" w:lineRule="auto"/>
              <w:jc w:val="both"/>
              <w:rPr>
                <w:rFonts w:ascii="Montserrat" w:hAnsi="Montserrat"/>
                <w:sz w:val="20"/>
                <w:szCs w:val="20"/>
              </w:rPr>
            </w:pPr>
            <w:r>
              <w:rPr>
                <w:rFonts w:ascii="Montserrat" w:hAnsi="Montserrat"/>
                <w:sz w:val="20"/>
                <w:szCs w:val="20"/>
              </w:rPr>
              <w:t>CC.2</w:t>
            </w:r>
          </w:p>
        </w:tc>
        <w:tc>
          <w:tcPr>
            <w:tcW w:w="4103" w:type="dxa"/>
          </w:tcPr>
          <w:p w14:paraId="36C45628" w14:textId="11508723" w:rsidR="005E13F6" w:rsidRPr="001F05E5" w:rsidRDefault="001F05E5" w:rsidP="00BF344F">
            <w:pPr>
              <w:spacing w:after="0" w:line="240" w:lineRule="auto"/>
              <w:rPr>
                <w:rFonts w:ascii="Montserrat" w:hAnsi="Montserrat"/>
                <w:sz w:val="20"/>
                <w:szCs w:val="20"/>
              </w:rPr>
            </w:pPr>
            <w:r w:rsidRPr="001F05E5">
              <w:rPr>
                <w:rFonts w:ascii="Montserrat" w:hAnsi="Montserrat"/>
                <w:sz w:val="20"/>
                <w:szCs w:val="20"/>
              </w:rPr>
              <w:t>Proponer al Comité de Control y Desempeño Institucional los acuerdos que permitan realizar el seguimiento trimestral de sus programas presupuestarios, a efecto de verificar su administración por resultados para el cumplimiento de metas y objetivos institucionales.</w:t>
            </w:r>
          </w:p>
        </w:tc>
        <w:tc>
          <w:tcPr>
            <w:tcW w:w="4759" w:type="dxa"/>
          </w:tcPr>
          <w:p w14:paraId="252A0451" w14:textId="40DC1615" w:rsidR="001F05E5" w:rsidRPr="001F05E5" w:rsidRDefault="006A3935" w:rsidP="006A3935">
            <w:pPr>
              <w:spacing w:after="0" w:line="240" w:lineRule="auto"/>
              <w:rPr>
                <w:rFonts w:ascii="Montserrat" w:hAnsi="Montserrat"/>
                <w:sz w:val="20"/>
                <w:szCs w:val="20"/>
              </w:rPr>
            </w:pPr>
            <w:r>
              <w:rPr>
                <w:rFonts w:ascii="Montserrat" w:hAnsi="Montserrat"/>
                <w:sz w:val="20"/>
                <w:szCs w:val="20"/>
              </w:rPr>
              <w:t>A</w:t>
            </w:r>
            <w:r w:rsidRPr="006A3935">
              <w:rPr>
                <w:rFonts w:ascii="Montserrat" w:hAnsi="Montserrat"/>
                <w:sz w:val="20"/>
                <w:szCs w:val="20"/>
              </w:rPr>
              <w:t>l cierre del tercer trimestre</w:t>
            </w:r>
            <w:r>
              <w:rPr>
                <w:rFonts w:ascii="Montserrat" w:hAnsi="Montserrat"/>
                <w:sz w:val="20"/>
                <w:szCs w:val="20"/>
              </w:rPr>
              <w:t xml:space="preserve"> </w:t>
            </w:r>
            <w:r w:rsidRPr="006A3935">
              <w:rPr>
                <w:rFonts w:ascii="Montserrat" w:hAnsi="Montserrat"/>
                <w:sz w:val="20"/>
                <w:szCs w:val="20"/>
              </w:rPr>
              <w:t xml:space="preserve">el Programa Presupuestario E003.- "Investigación </w:t>
            </w:r>
            <w:r w:rsidR="0005005E">
              <w:rPr>
                <w:rFonts w:ascii="Montserrat" w:hAnsi="Montserrat"/>
                <w:sz w:val="20"/>
                <w:szCs w:val="20"/>
              </w:rPr>
              <w:t>c</w:t>
            </w:r>
            <w:r w:rsidRPr="006A3935">
              <w:rPr>
                <w:rFonts w:ascii="Montserrat" w:hAnsi="Montserrat"/>
                <w:sz w:val="20"/>
                <w:szCs w:val="20"/>
              </w:rPr>
              <w:t xml:space="preserve">ientífica, </w:t>
            </w:r>
            <w:r w:rsidR="0005005E">
              <w:rPr>
                <w:rFonts w:ascii="Montserrat" w:hAnsi="Montserrat"/>
                <w:sz w:val="20"/>
                <w:szCs w:val="20"/>
              </w:rPr>
              <w:t>d</w:t>
            </w:r>
            <w:r w:rsidRPr="006A3935">
              <w:rPr>
                <w:rFonts w:ascii="Montserrat" w:hAnsi="Montserrat"/>
                <w:sz w:val="20"/>
                <w:szCs w:val="20"/>
              </w:rPr>
              <w:t xml:space="preserve">esarrollo e </w:t>
            </w:r>
            <w:r w:rsidR="0005005E">
              <w:rPr>
                <w:rFonts w:ascii="Montserrat" w:hAnsi="Montserrat"/>
                <w:sz w:val="20"/>
                <w:szCs w:val="20"/>
              </w:rPr>
              <w:t>i</w:t>
            </w:r>
            <w:r w:rsidRPr="006A3935">
              <w:rPr>
                <w:rFonts w:ascii="Montserrat" w:hAnsi="Montserrat"/>
                <w:sz w:val="20"/>
                <w:szCs w:val="20"/>
              </w:rPr>
              <w:t>nnovación", refleja una variación de 26.0%</w:t>
            </w:r>
            <w:r>
              <w:rPr>
                <w:rFonts w:ascii="Montserrat" w:hAnsi="Montserrat"/>
                <w:sz w:val="20"/>
                <w:szCs w:val="20"/>
              </w:rPr>
              <w:t xml:space="preserve"> </w:t>
            </w:r>
            <w:r w:rsidRPr="006A3935">
              <w:rPr>
                <w:rFonts w:ascii="Montserrat" w:hAnsi="Montserrat"/>
                <w:sz w:val="20"/>
                <w:szCs w:val="20"/>
              </w:rPr>
              <w:t>menor en comparación con el presupuesto autorizado</w:t>
            </w:r>
            <w:r>
              <w:rPr>
                <w:rFonts w:ascii="Montserrat" w:hAnsi="Montserrat"/>
                <w:sz w:val="20"/>
                <w:szCs w:val="20"/>
              </w:rPr>
              <w:t>, debido principalmente al teletrabajo y la suspensión de comisiones. Se deja al COCODI la decisión de un acuerdo para el seguimiento trimestral de estos rubros, considerando que las variaciones se justifican en el informe entregado para la carpeta COCODI</w:t>
            </w:r>
            <w:r w:rsidR="0005005E">
              <w:rPr>
                <w:rFonts w:ascii="Montserrat" w:hAnsi="Montserrat"/>
                <w:sz w:val="20"/>
                <w:szCs w:val="20"/>
              </w:rPr>
              <w:t>, así como por la pandemia.</w:t>
            </w:r>
          </w:p>
        </w:tc>
      </w:tr>
      <w:tr w:rsidR="009138BC" w:rsidRPr="001F05E5" w14:paraId="360062AC" w14:textId="77777777" w:rsidTr="00675F5B">
        <w:tc>
          <w:tcPr>
            <w:tcW w:w="914" w:type="dxa"/>
            <w:shd w:val="clear" w:color="auto" w:fill="D9E2F3" w:themeFill="accent1" w:themeFillTint="33"/>
          </w:tcPr>
          <w:p w14:paraId="07E2549B" w14:textId="0921F325" w:rsidR="009138BC" w:rsidRDefault="009138BC" w:rsidP="001F05E5">
            <w:pPr>
              <w:spacing w:after="0" w:line="240" w:lineRule="auto"/>
              <w:jc w:val="both"/>
              <w:rPr>
                <w:rFonts w:ascii="Montserrat" w:hAnsi="Montserrat"/>
                <w:sz w:val="20"/>
                <w:szCs w:val="20"/>
              </w:rPr>
            </w:pPr>
            <w:r>
              <w:rPr>
                <w:rFonts w:ascii="Montserrat" w:hAnsi="Montserrat"/>
                <w:sz w:val="20"/>
                <w:szCs w:val="20"/>
              </w:rPr>
              <w:t>CC.5</w:t>
            </w:r>
          </w:p>
        </w:tc>
        <w:tc>
          <w:tcPr>
            <w:tcW w:w="4103" w:type="dxa"/>
            <w:shd w:val="clear" w:color="auto" w:fill="D9E2F3" w:themeFill="accent1" w:themeFillTint="33"/>
          </w:tcPr>
          <w:p w14:paraId="10D47623" w14:textId="6C92BBA8" w:rsidR="009138BC" w:rsidRPr="001F05E5" w:rsidRDefault="00A25F62" w:rsidP="00BF344F">
            <w:pPr>
              <w:spacing w:after="0" w:line="240" w:lineRule="auto"/>
              <w:rPr>
                <w:rFonts w:ascii="Montserrat" w:hAnsi="Montserrat"/>
                <w:sz w:val="20"/>
                <w:szCs w:val="20"/>
              </w:rPr>
            </w:pPr>
            <w:r w:rsidRPr="00A25F62">
              <w:rPr>
                <w:rFonts w:ascii="Montserrat" w:hAnsi="Montserrat"/>
                <w:sz w:val="20"/>
                <w:szCs w:val="20"/>
              </w:rPr>
              <w:t>Registrar en la Bitácora Electrónica de Seguimiento de Adquisiciones, cada una de las etapas de la ejecución de los contratos de compras con recursos federales, desde su formalización hasta la recepción y pago de los bienes y servicios, para eficientar su seguimiento.</w:t>
            </w:r>
          </w:p>
        </w:tc>
        <w:tc>
          <w:tcPr>
            <w:tcW w:w="4759" w:type="dxa"/>
            <w:shd w:val="clear" w:color="auto" w:fill="D9E2F3" w:themeFill="accent1" w:themeFillTint="33"/>
          </w:tcPr>
          <w:p w14:paraId="41C4CD2F" w14:textId="5CEA95DE" w:rsidR="009138BC" w:rsidRDefault="0005005E" w:rsidP="00A25F62">
            <w:pPr>
              <w:spacing w:after="0" w:line="240" w:lineRule="auto"/>
              <w:rPr>
                <w:rFonts w:ascii="Montserrat" w:hAnsi="Montserrat"/>
                <w:sz w:val="20"/>
                <w:szCs w:val="20"/>
              </w:rPr>
            </w:pPr>
            <w:r>
              <w:rPr>
                <w:rFonts w:ascii="Montserrat" w:hAnsi="Montserrat"/>
                <w:sz w:val="20"/>
                <w:szCs w:val="20"/>
              </w:rPr>
              <w:t>L</w:t>
            </w:r>
            <w:r w:rsidR="00A25F62">
              <w:rPr>
                <w:rFonts w:ascii="Montserrat" w:hAnsi="Montserrat"/>
                <w:sz w:val="20"/>
                <w:szCs w:val="20"/>
              </w:rPr>
              <w:t>a SFP solicitó no reportar esta acción hasta que se notifique la liberación del sistema para el registro en la Bitácora Electrónica de Seguimiento de Adquisiciones.</w:t>
            </w:r>
          </w:p>
        </w:tc>
      </w:tr>
      <w:tr w:rsidR="005E13F6" w:rsidRPr="001F05E5" w14:paraId="590D7280" w14:textId="77777777" w:rsidTr="00675F5B">
        <w:tc>
          <w:tcPr>
            <w:tcW w:w="914" w:type="dxa"/>
            <w:shd w:val="clear" w:color="auto" w:fill="D9E2F3" w:themeFill="accent1" w:themeFillTint="33"/>
          </w:tcPr>
          <w:p w14:paraId="51FB90D0" w14:textId="03CBC68B" w:rsidR="005E13F6" w:rsidRPr="001F05E5" w:rsidRDefault="001F05E5" w:rsidP="001F05E5">
            <w:pPr>
              <w:spacing w:after="0" w:line="240" w:lineRule="auto"/>
              <w:jc w:val="both"/>
              <w:rPr>
                <w:rFonts w:ascii="Montserrat" w:hAnsi="Montserrat"/>
                <w:sz w:val="20"/>
                <w:szCs w:val="20"/>
              </w:rPr>
            </w:pPr>
            <w:r>
              <w:rPr>
                <w:rFonts w:ascii="Montserrat" w:hAnsi="Montserrat"/>
                <w:sz w:val="20"/>
                <w:szCs w:val="20"/>
              </w:rPr>
              <w:t>CC</w:t>
            </w:r>
            <w:r w:rsidR="002F0FDE">
              <w:rPr>
                <w:rFonts w:ascii="Montserrat" w:hAnsi="Montserrat"/>
                <w:sz w:val="20"/>
                <w:szCs w:val="20"/>
              </w:rPr>
              <w:t>.</w:t>
            </w:r>
            <w:r>
              <w:rPr>
                <w:rFonts w:ascii="Montserrat" w:hAnsi="Montserrat"/>
                <w:sz w:val="20"/>
                <w:szCs w:val="20"/>
              </w:rPr>
              <w:t>8</w:t>
            </w:r>
          </w:p>
        </w:tc>
        <w:tc>
          <w:tcPr>
            <w:tcW w:w="4103" w:type="dxa"/>
            <w:shd w:val="clear" w:color="auto" w:fill="D9E2F3" w:themeFill="accent1" w:themeFillTint="33"/>
          </w:tcPr>
          <w:p w14:paraId="3AEF6297" w14:textId="4AA59A7A" w:rsidR="005E13F6" w:rsidRPr="001F05E5" w:rsidRDefault="001F05E5" w:rsidP="00BF344F">
            <w:pPr>
              <w:spacing w:after="0" w:line="240" w:lineRule="auto"/>
              <w:rPr>
                <w:rFonts w:ascii="Montserrat" w:hAnsi="Montserrat"/>
                <w:sz w:val="20"/>
                <w:szCs w:val="20"/>
              </w:rPr>
            </w:pPr>
            <w:r w:rsidRPr="001F05E5">
              <w:rPr>
                <w:rFonts w:ascii="Montserrat" w:hAnsi="Montserrat"/>
                <w:sz w:val="20"/>
                <w:szCs w:val="20"/>
              </w:rPr>
              <w:t>Impulsar la implementación y el seguimiento de los compromisos derivados de Planes de Acción de la Alianza para el Gobierno Abierto que contribuyan al bienestar del pueblo de México.</w:t>
            </w:r>
          </w:p>
        </w:tc>
        <w:tc>
          <w:tcPr>
            <w:tcW w:w="4759" w:type="dxa"/>
            <w:shd w:val="clear" w:color="auto" w:fill="D9E2F3" w:themeFill="accent1" w:themeFillTint="33"/>
          </w:tcPr>
          <w:p w14:paraId="0CA60B55" w14:textId="156E786F" w:rsidR="005E13F6" w:rsidRPr="001F05E5" w:rsidRDefault="001F05E5" w:rsidP="001F05E5">
            <w:pPr>
              <w:spacing w:after="0" w:line="240" w:lineRule="auto"/>
              <w:jc w:val="both"/>
              <w:rPr>
                <w:rFonts w:ascii="Montserrat" w:hAnsi="Montserrat"/>
                <w:sz w:val="20"/>
                <w:szCs w:val="20"/>
              </w:rPr>
            </w:pPr>
            <w:r>
              <w:rPr>
                <w:rFonts w:ascii="Montserrat" w:hAnsi="Montserrat"/>
                <w:sz w:val="20"/>
                <w:szCs w:val="20"/>
              </w:rPr>
              <w:t>La Dirección de Gobierno Abierto de la SFP solicit</w:t>
            </w:r>
            <w:r w:rsidR="005F0A07">
              <w:rPr>
                <w:rFonts w:ascii="Montserrat" w:hAnsi="Montserrat"/>
                <w:sz w:val="20"/>
                <w:szCs w:val="20"/>
              </w:rPr>
              <w:t>ó</w:t>
            </w:r>
            <w:r>
              <w:rPr>
                <w:rFonts w:ascii="Montserrat" w:hAnsi="Montserrat"/>
                <w:sz w:val="20"/>
                <w:szCs w:val="20"/>
              </w:rPr>
              <w:t xml:space="preserve"> que las instituciones que no </w:t>
            </w:r>
            <w:r w:rsidR="005F0A07">
              <w:rPr>
                <w:rFonts w:ascii="Montserrat" w:hAnsi="Montserrat"/>
                <w:sz w:val="20"/>
                <w:szCs w:val="20"/>
              </w:rPr>
              <w:t xml:space="preserve">aparecen como responsables </w:t>
            </w:r>
            <w:r w:rsidR="0005005E">
              <w:rPr>
                <w:rFonts w:ascii="Montserrat" w:hAnsi="Montserrat"/>
                <w:sz w:val="20"/>
                <w:szCs w:val="20"/>
              </w:rPr>
              <w:t>reporten esta acción</w:t>
            </w:r>
            <w:r w:rsidR="005F0A07">
              <w:rPr>
                <w:rFonts w:ascii="Montserrat" w:hAnsi="Montserrat"/>
                <w:sz w:val="20"/>
                <w:szCs w:val="20"/>
              </w:rPr>
              <w:t xml:space="preserve"> sin avances, en tanto la SFP les notifique la necesidad de participar. </w:t>
            </w:r>
          </w:p>
        </w:tc>
      </w:tr>
      <w:tr w:rsidR="005E13F6" w:rsidRPr="001F05E5" w14:paraId="36FFF4F6" w14:textId="77777777" w:rsidTr="003C06FB">
        <w:tc>
          <w:tcPr>
            <w:tcW w:w="914" w:type="dxa"/>
          </w:tcPr>
          <w:p w14:paraId="467A4436" w14:textId="5A07D5FF" w:rsidR="005E13F6" w:rsidRPr="001F05E5" w:rsidRDefault="00BF344F" w:rsidP="001F05E5">
            <w:pPr>
              <w:spacing w:after="0" w:line="240" w:lineRule="auto"/>
              <w:jc w:val="both"/>
              <w:rPr>
                <w:rFonts w:ascii="Montserrat" w:hAnsi="Montserrat"/>
                <w:sz w:val="20"/>
                <w:szCs w:val="20"/>
              </w:rPr>
            </w:pPr>
            <w:r>
              <w:rPr>
                <w:rFonts w:ascii="Montserrat" w:hAnsi="Montserrat"/>
                <w:sz w:val="20"/>
                <w:szCs w:val="20"/>
              </w:rPr>
              <w:t>CI.6</w:t>
            </w:r>
          </w:p>
        </w:tc>
        <w:tc>
          <w:tcPr>
            <w:tcW w:w="4103" w:type="dxa"/>
          </w:tcPr>
          <w:p w14:paraId="5B97AEE5" w14:textId="6086C93A" w:rsidR="005E13F6" w:rsidRPr="001F05E5" w:rsidRDefault="00BF344F" w:rsidP="00BF344F">
            <w:pPr>
              <w:spacing w:after="0" w:line="240" w:lineRule="auto"/>
              <w:rPr>
                <w:rFonts w:ascii="Montserrat" w:hAnsi="Montserrat"/>
                <w:sz w:val="20"/>
                <w:szCs w:val="20"/>
              </w:rPr>
            </w:pPr>
            <w:r w:rsidRPr="00BF344F">
              <w:rPr>
                <w:rFonts w:ascii="Montserrat" w:hAnsi="Montserrat"/>
                <w:sz w:val="20"/>
                <w:szCs w:val="20"/>
              </w:rPr>
              <w:t>Difundir materiales de sensibilización sobre el tema de conflictos de intereses por medio de los Comités de Ética y Prevención de Conflictos de Intereses.</w:t>
            </w:r>
          </w:p>
        </w:tc>
        <w:tc>
          <w:tcPr>
            <w:tcW w:w="4759" w:type="dxa"/>
          </w:tcPr>
          <w:p w14:paraId="651D7AE1" w14:textId="689B795B" w:rsidR="005E13F6" w:rsidRPr="001F05E5" w:rsidRDefault="00AC2376" w:rsidP="001F05E5">
            <w:pPr>
              <w:spacing w:after="0" w:line="240" w:lineRule="auto"/>
              <w:jc w:val="both"/>
              <w:rPr>
                <w:rFonts w:ascii="Montserrat" w:hAnsi="Montserrat"/>
                <w:sz w:val="20"/>
                <w:szCs w:val="20"/>
              </w:rPr>
            </w:pPr>
            <w:r>
              <w:rPr>
                <w:rFonts w:ascii="Montserrat" w:hAnsi="Montserrat"/>
                <w:sz w:val="20"/>
                <w:szCs w:val="20"/>
              </w:rPr>
              <w:t>La institución ha promovido los cursos de la SFP disponibles en línea sobre este tema. Sin embargo, no se ha difundido aún materiales de sensibilización.</w:t>
            </w:r>
          </w:p>
        </w:tc>
      </w:tr>
      <w:tr w:rsidR="009138BC" w:rsidRPr="001F05E5" w14:paraId="353F9091" w14:textId="77777777" w:rsidTr="00675F5B">
        <w:tc>
          <w:tcPr>
            <w:tcW w:w="914" w:type="dxa"/>
            <w:shd w:val="clear" w:color="auto" w:fill="D9E2F3" w:themeFill="accent1" w:themeFillTint="33"/>
          </w:tcPr>
          <w:p w14:paraId="6635C81E" w14:textId="0A39EAC9" w:rsidR="009138BC" w:rsidRDefault="009138BC" w:rsidP="001F05E5">
            <w:pPr>
              <w:spacing w:after="0" w:line="240" w:lineRule="auto"/>
              <w:jc w:val="both"/>
              <w:rPr>
                <w:rFonts w:ascii="Montserrat" w:hAnsi="Montserrat"/>
                <w:sz w:val="20"/>
                <w:szCs w:val="20"/>
              </w:rPr>
            </w:pPr>
            <w:r>
              <w:rPr>
                <w:rFonts w:ascii="Montserrat" w:hAnsi="Montserrat"/>
                <w:sz w:val="20"/>
                <w:szCs w:val="20"/>
              </w:rPr>
              <w:t>CI.8</w:t>
            </w:r>
          </w:p>
        </w:tc>
        <w:tc>
          <w:tcPr>
            <w:tcW w:w="4103" w:type="dxa"/>
            <w:shd w:val="clear" w:color="auto" w:fill="D9E2F3" w:themeFill="accent1" w:themeFillTint="33"/>
          </w:tcPr>
          <w:p w14:paraId="384B200F" w14:textId="3A5BD136" w:rsidR="009138BC" w:rsidRPr="00BF344F" w:rsidRDefault="00AC2376" w:rsidP="0044209B">
            <w:pPr>
              <w:spacing w:after="0" w:line="240" w:lineRule="auto"/>
              <w:rPr>
                <w:rFonts w:ascii="Montserrat" w:hAnsi="Montserrat"/>
                <w:sz w:val="20"/>
                <w:szCs w:val="20"/>
              </w:rPr>
            </w:pPr>
            <w:r w:rsidRPr="00AC2376">
              <w:rPr>
                <w:rFonts w:ascii="Montserrat" w:hAnsi="Montserrat"/>
                <w:sz w:val="20"/>
                <w:szCs w:val="20"/>
              </w:rPr>
              <w:t xml:space="preserve">Asegurar que el personal adscrito a las áreas convocantes asista a la capacitación que proporcione la Secretaría de la Función Pública, en </w:t>
            </w:r>
            <w:r w:rsidRPr="00AC2376">
              <w:rPr>
                <w:rFonts w:ascii="Montserrat" w:hAnsi="Montserrat"/>
                <w:sz w:val="20"/>
                <w:szCs w:val="20"/>
              </w:rPr>
              <w:lastRenderedPageBreak/>
              <w:t>materia de procedimientos administrativos de sanción a licitantes, proveedores y contratistas.</w:t>
            </w:r>
          </w:p>
        </w:tc>
        <w:tc>
          <w:tcPr>
            <w:tcW w:w="4759" w:type="dxa"/>
            <w:shd w:val="clear" w:color="auto" w:fill="D9E2F3" w:themeFill="accent1" w:themeFillTint="33"/>
          </w:tcPr>
          <w:p w14:paraId="3519AE46" w14:textId="1FB52C1B" w:rsidR="009138BC" w:rsidRPr="0044209B" w:rsidRDefault="00007E97" w:rsidP="001F05E5">
            <w:pPr>
              <w:spacing w:after="0" w:line="240" w:lineRule="auto"/>
              <w:jc w:val="both"/>
              <w:rPr>
                <w:rFonts w:ascii="Montserrat" w:hAnsi="Montserrat"/>
                <w:sz w:val="20"/>
                <w:szCs w:val="20"/>
              </w:rPr>
            </w:pPr>
            <w:r>
              <w:rPr>
                <w:rFonts w:ascii="Montserrat" w:hAnsi="Montserrat"/>
                <w:sz w:val="20"/>
                <w:szCs w:val="20"/>
              </w:rPr>
              <w:lastRenderedPageBreak/>
              <w:t>De momento estos cursos están cerrados a razón de la contingencia sanitaria hasta nuevo aviso, lo que impide el cumplimiento de esta acción.</w:t>
            </w:r>
          </w:p>
        </w:tc>
      </w:tr>
      <w:tr w:rsidR="005E13F6" w:rsidRPr="001F05E5" w14:paraId="1A10D423" w14:textId="77777777" w:rsidTr="00675F5B">
        <w:tc>
          <w:tcPr>
            <w:tcW w:w="914" w:type="dxa"/>
            <w:shd w:val="clear" w:color="auto" w:fill="D9E2F3" w:themeFill="accent1" w:themeFillTint="33"/>
          </w:tcPr>
          <w:p w14:paraId="14655870" w14:textId="652373AF" w:rsidR="005E13F6" w:rsidRPr="001F05E5" w:rsidRDefault="00BF344F" w:rsidP="001F05E5">
            <w:pPr>
              <w:spacing w:after="0" w:line="240" w:lineRule="auto"/>
              <w:jc w:val="both"/>
              <w:rPr>
                <w:rFonts w:ascii="Montserrat" w:hAnsi="Montserrat"/>
                <w:sz w:val="20"/>
                <w:szCs w:val="20"/>
              </w:rPr>
            </w:pPr>
            <w:r>
              <w:rPr>
                <w:rFonts w:ascii="Montserrat" w:hAnsi="Montserrat"/>
                <w:sz w:val="20"/>
                <w:szCs w:val="20"/>
              </w:rPr>
              <w:t>CI.9</w:t>
            </w:r>
          </w:p>
        </w:tc>
        <w:tc>
          <w:tcPr>
            <w:tcW w:w="4103" w:type="dxa"/>
            <w:shd w:val="clear" w:color="auto" w:fill="D9E2F3" w:themeFill="accent1" w:themeFillTint="33"/>
          </w:tcPr>
          <w:p w14:paraId="0EFE76B7" w14:textId="3726FE66" w:rsidR="005E13F6" w:rsidRPr="001F05E5" w:rsidRDefault="00BF344F" w:rsidP="0044209B">
            <w:pPr>
              <w:spacing w:after="0" w:line="240" w:lineRule="auto"/>
              <w:rPr>
                <w:rFonts w:ascii="Montserrat" w:hAnsi="Montserrat"/>
                <w:sz w:val="20"/>
                <w:szCs w:val="20"/>
              </w:rPr>
            </w:pPr>
            <w:r w:rsidRPr="00BF344F">
              <w:rPr>
                <w:rFonts w:ascii="Montserrat" w:hAnsi="Montserrat"/>
                <w:sz w:val="20"/>
                <w:szCs w:val="20"/>
              </w:rPr>
              <w:t>Denunciar o dar vista a la Secretaría de la Función Pública de los actos o hechos presuntamente constitutivos de infracciones a las disposiciones en materia de contrataciones públicas, que cometan los licitantes, proveedores o contratistas.</w:t>
            </w:r>
          </w:p>
        </w:tc>
        <w:tc>
          <w:tcPr>
            <w:tcW w:w="4759" w:type="dxa"/>
            <w:shd w:val="clear" w:color="auto" w:fill="D9E2F3" w:themeFill="accent1" w:themeFillTint="33"/>
          </w:tcPr>
          <w:p w14:paraId="531CFC88" w14:textId="4557B8C7" w:rsidR="005E13F6" w:rsidRPr="001F05E5" w:rsidRDefault="0044209B" w:rsidP="001F05E5">
            <w:pPr>
              <w:spacing w:after="0" w:line="240" w:lineRule="auto"/>
              <w:jc w:val="both"/>
              <w:rPr>
                <w:rFonts w:ascii="Montserrat" w:hAnsi="Montserrat"/>
                <w:sz w:val="20"/>
                <w:szCs w:val="20"/>
              </w:rPr>
            </w:pPr>
            <w:r w:rsidRPr="0044209B">
              <w:rPr>
                <w:rFonts w:ascii="Montserrat" w:hAnsi="Montserrat"/>
                <w:sz w:val="20"/>
                <w:szCs w:val="20"/>
              </w:rPr>
              <w:t xml:space="preserve">Durante el </w:t>
            </w:r>
            <w:r w:rsidR="00007E97">
              <w:rPr>
                <w:rFonts w:ascii="Montserrat" w:hAnsi="Montserrat"/>
                <w:sz w:val="20"/>
                <w:szCs w:val="20"/>
              </w:rPr>
              <w:t>tercer</w:t>
            </w:r>
            <w:r w:rsidRPr="0044209B">
              <w:rPr>
                <w:rFonts w:ascii="Montserrat" w:hAnsi="Montserrat"/>
                <w:sz w:val="20"/>
                <w:szCs w:val="20"/>
              </w:rPr>
              <w:t xml:space="preserve"> trimestre, ECOSUR no ha tomado conocimiento de actos o hechos merecedores de denuncias ante la Secretaría de la Función Pública</w:t>
            </w:r>
            <w:r w:rsidR="00D12C48">
              <w:rPr>
                <w:rFonts w:ascii="Montserrat" w:hAnsi="Montserrat"/>
                <w:sz w:val="20"/>
                <w:szCs w:val="20"/>
              </w:rPr>
              <w:t>.</w:t>
            </w:r>
            <w:r w:rsidRPr="0044209B">
              <w:rPr>
                <w:rFonts w:ascii="Montserrat" w:hAnsi="Montserrat"/>
                <w:sz w:val="20"/>
                <w:szCs w:val="20"/>
              </w:rPr>
              <w:t xml:space="preserve"> </w:t>
            </w:r>
            <w:r w:rsidR="00D12C48">
              <w:rPr>
                <w:rFonts w:ascii="Montserrat" w:hAnsi="Montserrat"/>
                <w:sz w:val="20"/>
                <w:szCs w:val="20"/>
              </w:rPr>
              <w:t>P</w:t>
            </w:r>
            <w:r w:rsidRPr="0044209B">
              <w:rPr>
                <w:rFonts w:ascii="Montserrat" w:hAnsi="Montserrat"/>
                <w:sz w:val="20"/>
                <w:szCs w:val="20"/>
              </w:rPr>
              <w:t>or lo tanto</w:t>
            </w:r>
            <w:r w:rsidR="00D12C48">
              <w:rPr>
                <w:rFonts w:ascii="Montserrat" w:hAnsi="Montserrat"/>
                <w:sz w:val="20"/>
                <w:szCs w:val="20"/>
              </w:rPr>
              <w:t>,</w:t>
            </w:r>
            <w:r w:rsidRPr="0044209B">
              <w:rPr>
                <w:rFonts w:ascii="Montserrat" w:hAnsi="Montserrat"/>
                <w:sz w:val="20"/>
                <w:szCs w:val="20"/>
              </w:rPr>
              <w:t xml:space="preserve"> no existe información que reportar.</w:t>
            </w:r>
          </w:p>
        </w:tc>
      </w:tr>
      <w:tr w:rsidR="005E13F6" w:rsidRPr="001F05E5" w14:paraId="0BA2059A" w14:textId="77777777" w:rsidTr="00675F5B">
        <w:tc>
          <w:tcPr>
            <w:tcW w:w="914" w:type="dxa"/>
            <w:shd w:val="clear" w:color="auto" w:fill="D9E2F3" w:themeFill="accent1" w:themeFillTint="33"/>
          </w:tcPr>
          <w:p w14:paraId="12A6F751" w14:textId="38EBF07B" w:rsidR="005E13F6" w:rsidRPr="001F05E5" w:rsidRDefault="00BF344F" w:rsidP="001F05E5">
            <w:pPr>
              <w:spacing w:after="0" w:line="240" w:lineRule="auto"/>
              <w:jc w:val="both"/>
              <w:rPr>
                <w:rFonts w:ascii="Montserrat" w:hAnsi="Montserrat"/>
                <w:sz w:val="20"/>
                <w:szCs w:val="20"/>
              </w:rPr>
            </w:pPr>
            <w:r>
              <w:rPr>
                <w:rFonts w:ascii="Montserrat" w:hAnsi="Montserrat"/>
                <w:sz w:val="20"/>
                <w:szCs w:val="20"/>
              </w:rPr>
              <w:t>CI.10</w:t>
            </w:r>
          </w:p>
        </w:tc>
        <w:tc>
          <w:tcPr>
            <w:tcW w:w="4103" w:type="dxa"/>
            <w:shd w:val="clear" w:color="auto" w:fill="D9E2F3" w:themeFill="accent1" w:themeFillTint="33"/>
          </w:tcPr>
          <w:p w14:paraId="2A6AA589" w14:textId="49154ADC" w:rsidR="005E13F6" w:rsidRPr="001F05E5" w:rsidRDefault="0044209B" w:rsidP="00BF344F">
            <w:pPr>
              <w:spacing w:after="0" w:line="240" w:lineRule="auto"/>
              <w:rPr>
                <w:rFonts w:ascii="Montserrat" w:hAnsi="Montserrat"/>
                <w:sz w:val="20"/>
                <w:szCs w:val="20"/>
              </w:rPr>
            </w:pPr>
            <w:r w:rsidRPr="0044209B">
              <w:rPr>
                <w:rFonts w:ascii="Montserrat" w:hAnsi="Montserrat"/>
                <w:sz w:val="20"/>
                <w:szCs w:val="20"/>
              </w:rPr>
              <w:t>Remitir a la Secretaría de la Función Pública la documentación comprobatoria de los hechos presumiblemente constitutivos de infracción, dentro de los 15 días naturales a la fecha en que tengan conocimiento de alguna infracción a las disposiciones en materia de contrataciones públicas, conforme a lo establecido en la normatividad aplicable.</w:t>
            </w:r>
          </w:p>
        </w:tc>
        <w:tc>
          <w:tcPr>
            <w:tcW w:w="4759" w:type="dxa"/>
            <w:shd w:val="clear" w:color="auto" w:fill="D9E2F3" w:themeFill="accent1" w:themeFillTint="33"/>
          </w:tcPr>
          <w:p w14:paraId="585D3AB5" w14:textId="0E1B5217" w:rsidR="005E13F6" w:rsidRPr="001F05E5" w:rsidRDefault="00007E97" w:rsidP="001F05E5">
            <w:pPr>
              <w:spacing w:after="0" w:line="240" w:lineRule="auto"/>
              <w:jc w:val="both"/>
              <w:rPr>
                <w:rFonts w:ascii="Montserrat" w:hAnsi="Montserrat"/>
                <w:sz w:val="20"/>
                <w:szCs w:val="20"/>
              </w:rPr>
            </w:pPr>
            <w:r w:rsidRPr="00007E97">
              <w:rPr>
                <w:rFonts w:ascii="Montserrat" w:hAnsi="Montserrat"/>
                <w:sz w:val="20"/>
                <w:szCs w:val="20"/>
              </w:rPr>
              <w:t>Durante el tercer trimestre, ECOSUR no ha tomado conocimiento de denuncias remitidas la Secretaría de la Función Pública, por lo tanto</w:t>
            </w:r>
            <w:r w:rsidR="003C06FB">
              <w:rPr>
                <w:rFonts w:ascii="Montserrat" w:hAnsi="Montserrat"/>
                <w:sz w:val="20"/>
                <w:szCs w:val="20"/>
              </w:rPr>
              <w:t>,</w:t>
            </w:r>
            <w:r w:rsidRPr="00007E97">
              <w:rPr>
                <w:rFonts w:ascii="Montserrat" w:hAnsi="Montserrat"/>
                <w:sz w:val="20"/>
                <w:szCs w:val="20"/>
              </w:rPr>
              <w:t xml:space="preserve"> no existe información que reportar.</w:t>
            </w:r>
          </w:p>
        </w:tc>
      </w:tr>
      <w:tr w:rsidR="00252D6F" w:rsidRPr="001F05E5" w14:paraId="5AE9F345" w14:textId="77777777" w:rsidTr="00675F5B">
        <w:tc>
          <w:tcPr>
            <w:tcW w:w="914" w:type="dxa"/>
            <w:shd w:val="clear" w:color="auto" w:fill="D9E2F3" w:themeFill="accent1" w:themeFillTint="33"/>
          </w:tcPr>
          <w:p w14:paraId="6C907777" w14:textId="7BE801F0" w:rsidR="00252D6F" w:rsidRDefault="004923EA" w:rsidP="001F05E5">
            <w:pPr>
              <w:spacing w:after="0" w:line="240" w:lineRule="auto"/>
              <w:jc w:val="both"/>
              <w:rPr>
                <w:rFonts w:ascii="Montserrat" w:hAnsi="Montserrat"/>
                <w:sz w:val="20"/>
                <w:szCs w:val="20"/>
              </w:rPr>
            </w:pPr>
            <w:r>
              <w:rPr>
                <w:rFonts w:ascii="Montserrat" w:hAnsi="Montserrat"/>
                <w:sz w:val="20"/>
                <w:szCs w:val="20"/>
              </w:rPr>
              <w:t>P</w:t>
            </w:r>
            <w:r w:rsidR="00252D6F">
              <w:rPr>
                <w:rFonts w:ascii="Montserrat" w:hAnsi="Montserrat"/>
                <w:sz w:val="20"/>
                <w:szCs w:val="20"/>
              </w:rPr>
              <w:t>RH.8</w:t>
            </w:r>
          </w:p>
        </w:tc>
        <w:tc>
          <w:tcPr>
            <w:tcW w:w="4103" w:type="dxa"/>
            <w:shd w:val="clear" w:color="auto" w:fill="D9E2F3" w:themeFill="accent1" w:themeFillTint="33"/>
          </w:tcPr>
          <w:p w14:paraId="7D43F78E" w14:textId="6CDBCE93" w:rsidR="00252D6F" w:rsidRPr="00252D6F" w:rsidRDefault="00252D6F" w:rsidP="00252D6F">
            <w:pPr>
              <w:spacing w:after="0" w:line="240" w:lineRule="auto"/>
              <w:rPr>
                <w:rFonts w:ascii="Montserrat" w:hAnsi="Montserrat"/>
                <w:sz w:val="20"/>
                <w:szCs w:val="20"/>
              </w:rPr>
            </w:pPr>
            <w:r w:rsidRPr="00252D6F">
              <w:rPr>
                <w:rFonts w:ascii="Montserrat" w:hAnsi="Montserrat"/>
                <w:sz w:val="20"/>
                <w:szCs w:val="20"/>
              </w:rPr>
              <w:t>Analizar el impacto de las estructuras orgánicas en el cumplimiento de sus objetivos y resultados institucionales.</w:t>
            </w:r>
          </w:p>
        </w:tc>
        <w:tc>
          <w:tcPr>
            <w:tcW w:w="4759" w:type="dxa"/>
            <w:shd w:val="clear" w:color="auto" w:fill="D9E2F3" w:themeFill="accent1" w:themeFillTint="33"/>
          </w:tcPr>
          <w:p w14:paraId="337CEF02" w14:textId="67D21C3C" w:rsidR="00252D6F" w:rsidRDefault="00252D6F" w:rsidP="001F05E5">
            <w:pPr>
              <w:spacing w:after="0" w:line="240" w:lineRule="auto"/>
              <w:jc w:val="both"/>
              <w:rPr>
                <w:rFonts w:ascii="Montserrat" w:hAnsi="Montserrat"/>
                <w:sz w:val="20"/>
                <w:szCs w:val="20"/>
              </w:rPr>
            </w:pPr>
            <w:r>
              <w:rPr>
                <w:rFonts w:ascii="Montserrat" w:hAnsi="Montserrat"/>
                <w:sz w:val="20"/>
                <w:szCs w:val="20"/>
              </w:rPr>
              <w:t>A raíz de la emergencia sanitaria, la SFP ha desplazado el cumplimiento de este compromiso hasta el 15 de diciembre.</w:t>
            </w:r>
          </w:p>
        </w:tc>
      </w:tr>
      <w:tr w:rsidR="00252D6F" w:rsidRPr="001F05E5" w14:paraId="1BC4C337" w14:textId="77777777" w:rsidTr="003C06FB">
        <w:tc>
          <w:tcPr>
            <w:tcW w:w="914" w:type="dxa"/>
          </w:tcPr>
          <w:p w14:paraId="1635332B" w14:textId="0E9F4B2D" w:rsidR="00252D6F" w:rsidRDefault="004923EA" w:rsidP="001F05E5">
            <w:pPr>
              <w:spacing w:after="0" w:line="240" w:lineRule="auto"/>
              <w:jc w:val="both"/>
              <w:rPr>
                <w:rFonts w:ascii="Montserrat" w:hAnsi="Montserrat"/>
                <w:sz w:val="20"/>
                <w:szCs w:val="20"/>
              </w:rPr>
            </w:pPr>
            <w:r>
              <w:rPr>
                <w:rFonts w:ascii="Montserrat" w:hAnsi="Montserrat"/>
                <w:sz w:val="20"/>
                <w:szCs w:val="20"/>
              </w:rPr>
              <w:t>P</w:t>
            </w:r>
            <w:r w:rsidR="00252D6F">
              <w:rPr>
                <w:rFonts w:ascii="Montserrat" w:hAnsi="Montserrat"/>
                <w:sz w:val="20"/>
                <w:szCs w:val="20"/>
              </w:rPr>
              <w:t>RH.10</w:t>
            </w:r>
          </w:p>
        </w:tc>
        <w:tc>
          <w:tcPr>
            <w:tcW w:w="4103" w:type="dxa"/>
          </w:tcPr>
          <w:p w14:paraId="11F8B744" w14:textId="031CC078" w:rsidR="00252D6F" w:rsidRPr="00252D6F" w:rsidRDefault="00252D6F" w:rsidP="00252D6F">
            <w:pPr>
              <w:spacing w:after="0" w:line="240" w:lineRule="auto"/>
              <w:rPr>
                <w:rFonts w:ascii="Montserrat" w:hAnsi="Montserrat"/>
                <w:sz w:val="20"/>
                <w:szCs w:val="20"/>
              </w:rPr>
            </w:pPr>
            <w:r w:rsidRPr="00252D6F">
              <w:rPr>
                <w:rFonts w:ascii="Montserrat" w:hAnsi="Montserrat"/>
                <w:sz w:val="20"/>
                <w:szCs w:val="20"/>
              </w:rPr>
              <w:t>Proponer al Comité de Control y Desempeño Institucional los acuerdos que permitan dar cumplimiento a las disposiciones normativas en materia de funciones del servicio público.</w:t>
            </w:r>
          </w:p>
        </w:tc>
        <w:tc>
          <w:tcPr>
            <w:tcW w:w="4759" w:type="dxa"/>
          </w:tcPr>
          <w:p w14:paraId="0D9B597D" w14:textId="0F427D77" w:rsidR="00252D6F" w:rsidRDefault="00252D6F" w:rsidP="001F05E5">
            <w:pPr>
              <w:spacing w:after="0" w:line="240" w:lineRule="auto"/>
              <w:jc w:val="both"/>
              <w:rPr>
                <w:rFonts w:ascii="Montserrat" w:hAnsi="Montserrat"/>
                <w:sz w:val="20"/>
                <w:szCs w:val="20"/>
              </w:rPr>
            </w:pPr>
            <w:r>
              <w:rPr>
                <w:rFonts w:ascii="Montserrat" w:hAnsi="Montserrat"/>
                <w:sz w:val="20"/>
                <w:szCs w:val="20"/>
              </w:rPr>
              <w:t xml:space="preserve">La institución está revisando y analizando su Estatuto Orgánico y su Manual General de Organización para su actualización. </w:t>
            </w:r>
            <w:r w:rsidR="003C06FB">
              <w:rPr>
                <w:rFonts w:ascii="Montserrat" w:hAnsi="Montserrat"/>
                <w:sz w:val="20"/>
                <w:szCs w:val="20"/>
              </w:rPr>
              <w:t xml:space="preserve">En caso de detectar elementos que propician insuficiencia en el desempeño de las funciones, se </w:t>
            </w:r>
            <w:r w:rsidR="001732B2">
              <w:rPr>
                <w:rFonts w:ascii="Montserrat" w:hAnsi="Montserrat"/>
                <w:sz w:val="20"/>
                <w:szCs w:val="20"/>
              </w:rPr>
              <w:t>informará</w:t>
            </w:r>
            <w:r w:rsidR="003C06FB">
              <w:rPr>
                <w:rFonts w:ascii="Montserrat" w:hAnsi="Montserrat"/>
                <w:sz w:val="20"/>
                <w:szCs w:val="20"/>
              </w:rPr>
              <w:t xml:space="preserve"> al COCODI.</w:t>
            </w:r>
          </w:p>
        </w:tc>
      </w:tr>
    </w:tbl>
    <w:p w14:paraId="6428B215" w14:textId="77777777" w:rsidR="00B95225" w:rsidRDefault="00B95225" w:rsidP="00B95225">
      <w:pPr>
        <w:spacing w:after="0" w:line="276" w:lineRule="auto"/>
        <w:jc w:val="both"/>
        <w:rPr>
          <w:rFonts w:ascii="Montserrat" w:hAnsi="Montserrat"/>
        </w:rPr>
      </w:pPr>
    </w:p>
    <w:p w14:paraId="0F97DD55" w14:textId="5C283F17" w:rsidR="006F3551" w:rsidRDefault="006F3551" w:rsidP="00692ACE">
      <w:pPr>
        <w:spacing w:line="276" w:lineRule="auto"/>
        <w:jc w:val="both"/>
        <w:rPr>
          <w:rFonts w:ascii="Montserrat" w:hAnsi="Montserrat"/>
        </w:rPr>
      </w:pPr>
      <w:r>
        <w:rPr>
          <w:rFonts w:ascii="Montserrat" w:hAnsi="Montserrat"/>
        </w:rPr>
        <w:t>Las evidencias del reporte fueron entregadas al Órgano Interno de Control en ECOSUR, por ser la instancia de supervisión de</w:t>
      </w:r>
      <w:r w:rsidR="001A3F34">
        <w:rPr>
          <w:rFonts w:ascii="Montserrat" w:hAnsi="Montserrat"/>
        </w:rPr>
        <w:t xml:space="preserve"> este</w:t>
      </w:r>
      <w:r>
        <w:rPr>
          <w:rFonts w:ascii="Montserrat" w:hAnsi="Montserrat"/>
        </w:rPr>
        <w:t xml:space="preserve"> Programa en la institución.</w:t>
      </w:r>
    </w:p>
    <w:p w14:paraId="21DF5582" w14:textId="77777777" w:rsidR="00B95225" w:rsidRDefault="00B95225" w:rsidP="00B95225">
      <w:pPr>
        <w:spacing w:line="276" w:lineRule="auto"/>
        <w:jc w:val="center"/>
        <w:rPr>
          <w:rFonts w:ascii="Montserrat" w:hAnsi="Montserrat"/>
        </w:rPr>
      </w:pPr>
    </w:p>
    <w:p w14:paraId="3BE71E19" w14:textId="3B6B63C5" w:rsidR="00D12C48" w:rsidRDefault="00B95225" w:rsidP="00B95225">
      <w:pPr>
        <w:spacing w:line="276" w:lineRule="auto"/>
        <w:jc w:val="center"/>
        <w:rPr>
          <w:rFonts w:ascii="Montserrat" w:hAnsi="Montserrat"/>
        </w:rPr>
      </w:pPr>
      <w:r>
        <w:rPr>
          <w:rFonts w:ascii="Montserrat" w:hAnsi="Montserrat"/>
        </w:rPr>
        <w:t>R</w:t>
      </w:r>
      <w:r w:rsidR="00D12C48">
        <w:rPr>
          <w:rFonts w:ascii="Montserrat" w:hAnsi="Montserrat"/>
        </w:rPr>
        <w:t>esponsable de la información,</w:t>
      </w:r>
    </w:p>
    <w:p w14:paraId="595931CE" w14:textId="57A55076" w:rsidR="00D12C48" w:rsidRDefault="00D12C48" w:rsidP="00D12C48">
      <w:pPr>
        <w:spacing w:after="0" w:line="276" w:lineRule="auto"/>
        <w:jc w:val="center"/>
        <w:rPr>
          <w:rFonts w:ascii="Montserrat" w:hAnsi="Montserrat"/>
        </w:rPr>
      </w:pPr>
      <w:r>
        <w:rPr>
          <w:rFonts w:ascii="Montserrat" w:hAnsi="Montserrat"/>
        </w:rPr>
        <w:t>Mtra. Leticia Espinosa Cruz</w:t>
      </w:r>
    </w:p>
    <w:p w14:paraId="7C0CAE95" w14:textId="1D08EF6C" w:rsidR="00D12C48" w:rsidRDefault="00D12C48" w:rsidP="00D12C48">
      <w:pPr>
        <w:spacing w:after="0" w:line="276" w:lineRule="auto"/>
        <w:jc w:val="center"/>
        <w:rPr>
          <w:rFonts w:ascii="Montserrat" w:hAnsi="Montserrat"/>
        </w:rPr>
      </w:pPr>
      <w:r>
        <w:rPr>
          <w:rFonts w:ascii="Montserrat" w:hAnsi="Montserrat"/>
        </w:rPr>
        <w:t>Directora de Administración</w:t>
      </w:r>
    </w:p>
    <w:p w14:paraId="7AD5C30B" w14:textId="4AAEBA14" w:rsidR="00D12C48" w:rsidRPr="00080986" w:rsidRDefault="00D12C48" w:rsidP="00D12C48">
      <w:pPr>
        <w:spacing w:after="0" w:line="276" w:lineRule="auto"/>
        <w:jc w:val="center"/>
        <w:rPr>
          <w:rFonts w:ascii="Montserrat" w:hAnsi="Montserrat"/>
        </w:rPr>
      </w:pPr>
      <w:r>
        <w:rPr>
          <w:rFonts w:ascii="Montserrat" w:hAnsi="Montserrat"/>
        </w:rPr>
        <w:t>Enlace del PNCCIMGP 2019-2024</w:t>
      </w:r>
    </w:p>
    <w:sectPr w:rsidR="00D12C48" w:rsidRPr="0008098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22D10" w14:textId="77777777" w:rsidR="0073140E" w:rsidRDefault="0073140E" w:rsidP="004F0CA8">
      <w:pPr>
        <w:spacing w:after="0" w:line="240" w:lineRule="auto"/>
      </w:pPr>
      <w:r>
        <w:separator/>
      </w:r>
    </w:p>
  </w:endnote>
  <w:endnote w:type="continuationSeparator" w:id="0">
    <w:p w14:paraId="6333A060" w14:textId="77777777" w:rsidR="0073140E" w:rsidRDefault="0073140E" w:rsidP="004F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086859"/>
      <w:docPartObj>
        <w:docPartGallery w:val="Page Numbers (Bottom of Page)"/>
        <w:docPartUnique/>
      </w:docPartObj>
    </w:sdtPr>
    <w:sdtEndPr>
      <w:rPr>
        <w:rFonts w:ascii="Montserrat" w:hAnsi="Montserrat"/>
      </w:rPr>
    </w:sdtEndPr>
    <w:sdtContent>
      <w:p w14:paraId="551E4728" w14:textId="77777777" w:rsidR="00D12C48" w:rsidRDefault="00D12C48">
        <w:pPr>
          <w:pStyle w:val="Piedepgina"/>
          <w:jc w:val="center"/>
        </w:pPr>
      </w:p>
      <w:p w14:paraId="6179D8B1" w14:textId="5E5DF21E" w:rsidR="00692ACE" w:rsidRPr="00692ACE" w:rsidRDefault="00692ACE">
        <w:pPr>
          <w:pStyle w:val="Piedepgina"/>
          <w:jc w:val="center"/>
          <w:rPr>
            <w:rFonts w:ascii="Montserrat" w:hAnsi="Montserrat"/>
          </w:rPr>
        </w:pPr>
        <w:r w:rsidRPr="00692ACE">
          <w:rPr>
            <w:rFonts w:ascii="Montserrat" w:hAnsi="Montserrat"/>
          </w:rPr>
          <w:fldChar w:fldCharType="begin"/>
        </w:r>
        <w:r w:rsidRPr="00692ACE">
          <w:rPr>
            <w:rFonts w:ascii="Montserrat" w:hAnsi="Montserrat"/>
          </w:rPr>
          <w:instrText>PAGE   \* MERGEFORMAT</w:instrText>
        </w:r>
        <w:r w:rsidRPr="00692ACE">
          <w:rPr>
            <w:rFonts w:ascii="Montserrat" w:hAnsi="Montserrat"/>
          </w:rPr>
          <w:fldChar w:fldCharType="separate"/>
        </w:r>
        <w:r w:rsidRPr="00692ACE">
          <w:rPr>
            <w:rFonts w:ascii="Montserrat" w:hAnsi="Montserrat"/>
            <w:lang w:val="es-ES"/>
          </w:rPr>
          <w:t>2</w:t>
        </w:r>
        <w:r w:rsidRPr="00692ACE">
          <w:rPr>
            <w:rFonts w:ascii="Montserrat" w:hAnsi="Montserrat"/>
          </w:rPr>
          <w:fldChar w:fldCharType="end"/>
        </w:r>
      </w:p>
    </w:sdtContent>
  </w:sdt>
  <w:p w14:paraId="554D6492" w14:textId="77777777" w:rsidR="004F0CA8" w:rsidRDefault="004F0C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7DEA9" w14:textId="77777777" w:rsidR="0073140E" w:rsidRDefault="0073140E" w:rsidP="004F0CA8">
      <w:pPr>
        <w:spacing w:after="0" w:line="240" w:lineRule="auto"/>
      </w:pPr>
      <w:r>
        <w:separator/>
      </w:r>
    </w:p>
  </w:footnote>
  <w:footnote w:type="continuationSeparator" w:id="0">
    <w:p w14:paraId="4703FD15" w14:textId="77777777" w:rsidR="0073140E" w:rsidRDefault="0073140E" w:rsidP="004F0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F69A7" w14:textId="5C0DA05B" w:rsidR="006A183F" w:rsidRDefault="006A183F">
    <w:pPr>
      <w:pStyle w:val="Encabezado"/>
    </w:pPr>
    <w:r>
      <w:rPr>
        <w:noProof/>
      </w:rPr>
      <w:drawing>
        <wp:anchor distT="0" distB="0" distL="114300" distR="114300" simplePos="0" relativeHeight="251658240" behindDoc="0" locked="0" layoutInCell="1" allowOverlap="1" wp14:anchorId="4BF840EF" wp14:editId="2534B5C3">
          <wp:simplePos x="0" y="0"/>
          <wp:positionH relativeFrom="margin">
            <wp:align>left</wp:align>
          </wp:positionH>
          <wp:positionV relativeFrom="paragraph">
            <wp:posOffset>-201930</wp:posOffset>
          </wp:positionV>
          <wp:extent cx="5648325" cy="1652270"/>
          <wp:effectExtent l="0" t="0" r="9525"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8325" cy="1652270"/>
                  </a:xfrm>
                  <a:prstGeom prst="rect">
                    <a:avLst/>
                  </a:prstGeom>
                  <a:noFill/>
                </pic:spPr>
              </pic:pic>
            </a:graphicData>
          </a:graphic>
          <wp14:sizeRelH relativeFrom="page">
            <wp14:pctWidth>0</wp14:pctWidth>
          </wp14:sizeRelH>
          <wp14:sizeRelV relativeFrom="page">
            <wp14:pctHeight>0</wp14:pctHeight>
          </wp14:sizeRelV>
        </wp:anchor>
      </w:drawing>
    </w:r>
  </w:p>
  <w:p w14:paraId="13F9770C" w14:textId="77777777" w:rsidR="006A183F" w:rsidRDefault="006A183F">
    <w:pPr>
      <w:pStyle w:val="Encabezado"/>
    </w:pPr>
  </w:p>
  <w:p w14:paraId="3CB681E3" w14:textId="33846317" w:rsidR="006A183F" w:rsidRDefault="006A183F">
    <w:pPr>
      <w:pStyle w:val="Encabezado"/>
    </w:pPr>
  </w:p>
  <w:p w14:paraId="78DA2FE5" w14:textId="00E43D05" w:rsidR="006A183F" w:rsidRDefault="006A183F">
    <w:pPr>
      <w:pStyle w:val="Encabezado"/>
    </w:pPr>
  </w:p>
  <w:p w14:paraId="4F059998" w14:textId="77777777" w:rsidR="006A183F" w:rsidRDefault="006A183F">
    <w:pPr>
      <w:pStyle w:val="Encabezado"/>
    </w:pPr>
  </w:p>
  <w:p w14:paraId="7532D070" w14:textId="6C16B4D0" w:rsidR="004F0CA8" w:rsidRDefault="004F0C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93B81"/>
    <w:multiLevelType w:val="hybridMultilevel"/>
    <w:tmpl w:val="F384CD6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CC90904"/>
    <w:multiLevelType w:val="hybridMultilevel"/>
    <w:tmpl w:val="B92080C2"/>
    <w:lvl w:ilvl="0" w:tplc="080A000F">
      <w:start w:val="1"/>
      <w:numFmt w:val="decimal"/>
      <w:lvlText w:val="%1."/>
      <w:lvlJc w:val="left"/>
      <w:pPr>
        <w:ind w:left="720" w:hanging="360"/>
      </w:pPr>
    </w:lvl>
    <w:lvl w:ilvl="1" w:tplc="080A0019">
      <w:start w:val="1"/>
      <w:numFmt w:val="lowerLetter"/>
      <w:lvlText w:val="%2."/>
      <w:lvlJc w:val="left"/>
      <w:pPr>
        <w:ind w:left="36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A42972"/>
    <w:multiLevelType w:val="hybridMultilevel"/>
    <w:tmpl w:val="9ADA06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171E34"/>
    <w:multiLevelType w:val="hybridMultilevel"/>
    <w:tmpl w:val="B92080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5D7C6C"/>
    <w:multiLevelType w:val="hybridMultilevel"/>
    <w:tmpl w:val="36CCA134"/>
    <w:lvl w:ilvl="0" w:tplc="080A0001">
      <w:start w:val="3"/>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FA"/>
    <w:rsid w:val="00007E97"/>
    <w:rsid w:val="0001100C"/>
    <w:rsid w:val="00023BB8"/>
    <w:rsid w:val="0005005E"/>
    <w:rsid w:val="00055326"/>
    <w:rsid w:val="000704BE"/>
    <w:rsid w:val="00080986"/>
    <w:rsid w:val="000D222C"/>
    <w:rsid w:val="000D31FA"/>
    <w:rsid w:val="000E5FF8"/>
    <w:rsid w:val="00102EB7"/>
    <w:rsid w:val="00126032"/>
    <w:rsid w:val="00134DCA"/>
    <w:rsid w:val="00152240"/>
    <w:rsid w:val="00167E7C"/>
    <w:rsid w:val="001732B2"/>
    <w:rsid w:val="001A3F34"/>
    <w:rsid w:val="001B395A"/>
    <w:rsid w:val="001F05E5"/>
    <w:rsid w:val="001F5E02"/>
    <w:rsid w:val="00201A51"/>
    <w:rsid w:val="0020637F"/>
    <w:rsid w:val="002142E0"/>
    <w:rsid w:val="0022007A"/>
    <w:rsid w:val="00252D6F"/>
    <w:rsid w:val="00267CE5"/>
    <w:rsid w:val="002714E9"/>
    <w:rsid w:val="002720DD"/>
    <w:rsid w:val="00276AB3"/>
    <w:rsid w:val="002954E7"/>
    <w:rsid w:val="00297CC3"/>
    <w:rsid w:val="002A3CCD"/>
    <w:rsid w:val="002A7F5E"/>
    <w:rsid w:val="002E7E2F"/>
    <w:rsid w:val="002F0FDE"/>
    <w:rsid w:val="002F4B1C"/>
    <w:rsid w:val="00323B98"/>
    <w:rsid w:val="003546A8"/>
    <w:rsid w:val="00373133"/>
    <w:rsid w:val="003C06FB"/>
    <w:rsid w:val="003D3AA4"/>
    <w:rsid w:val="003F740B"/>
    <w:rsid w:val="00411440"/>
    <w:rsid w:val="0044209B"/>
    <w:rsid w:val="004612D6"/>
    <w:rsid w:val="004923EA"/>
    <w:rsid w:val="004A6DEE"/>
    <w:rsid w:val="004F0CA8"/>
    <w:rsid w:val="005041B5"/>
    <w:rsid w:val="0053611C"/>
    <w:rsid w:val="005E13F6"/>
    <w:rsid w:val="005F0A07"/>
    <w:rsid w:val="005F3795"/>
    <w:rsid w:val="00601D09"/>
    <w:rsid w:val="00617EFE"/>
    <w:rsid w:val="00635787"/>
    <w:rsid w:val="00641D38"/>
    <w:rsid w:val="0065301C"/>
    <w:rsid w:val="00675F5B"/>
    <w:rsid w:val="00692ACE"/>
    <w:rsid w:val="006A183F"/>
    <w:rsid w:val="006A3935"/>
    <w:rsid w:val="006B4863"/>
    <w:rsid w:val="006F0809"/>
    <w:rsid w:val="006F3551"/>
    <w:rsid w:val="00724D57"/>
    <w:rsid w:val="00727D22"/>
    <w:rsid w:val="00730B9B"/>
    <w:rsid w:val="0073140E"/>
    <w:rsid w:val="00754375"/>
    <w:rsid w:val="00776FE7"/>
    <w:rsid w:val="007B3488"/>
    <w:rsid w:val="007B6F97"/>
    <w:rsid w:val="007C22E6"/>
    <w:rsid w:val="007C4B00"/>
    <w:rsid w:val="007C5F14"/>
    <w:rsid w:val="007D30E2"/>
    <w:rsid w:val="007E5560"/>
    <w:rsid w:val="0080202A"/>
    <w:rsid w:val="00804D21"/>
    <w:rsid w:val="00805CA4"/>
    <w:rsid w:val="0081492E"/>
    <w:rsid w:val="00837B0B"/>
    <w:rsid w:val="0086285F"/>
    <w:rsid w:val="00863CD4"/>
    <w:rsid w:val="00864163"/>
    <w:rsid w:val="00871D28"/>
    <w:rsid w:val="00876355"/>
    <w:rsid w:val="00883121"/>
    <w:rsid w:val="008B372C"/>
    <w:rsid w:val="008B6BFC"/>
    <w:rsid w:val="008D0188"/>
    <w:rsid w:val="008D63AA"/>
    <w:rsid w:val="009138BC"/>
    <w:rsid w:val="009228E9"/>
    <w:rsid w:val="0093247C"/>
    <w:rsid w:val="009368CE"/>
    <w:rsid w:val="00944DFB"/>
    <w:rsid w:val="009575CD"/>
    <w:rsid w:val="00990BE6"/>
    <w:rsid w:val="009943DA"/>
    <w:rsid w:val="009B2BBD"/>
    <w:rsid w:val="009C5CEA"/>
    <w:rsid w:val="009D6B2B"/>
    <w:rsid w:val="009F075A"/>
    <w:rsid w:val="00A21B66"/>
    <w:rsid w:val="00A25F62"/>
    <w:rsid w:val="00A52A8E"/>
    <w:rsid w:val="00A73B7F"/>
    <w:rsid w:val="00A86516"/>
    <w:rsid w:val="00AA2EC8"/>
    <w:rsid w:val="00AC2376"/>
    <w:rsid w:val="00B0764B"/>
    <w:rsid w:val="00B4574C"/>
    <w:rsid w:val="00B95225"/>
    <w:rsid w:val="00BF344F"/>
    <w:rsid w:val="00BF6138"/>
    <w:rsid w:val="00C0521C"/>
    <w:rsid w:val="00C072AC"/>
    <w:rsid w:val="00C16739"/>
    <w:rsid w:val="00C429DB"/>
    <w:rsid w:val="00C4698C"/>
    <w:rsid w:val="00C5734A"/>
    <w:rsid w:val="00C62B22"/>
    <w:rsid w:val="00C657EC"/>
    <w:rsid w:val="00C71702"/>
    <w:rsid w:val="00C72909"/>
    <w:rsid w:val="00C8370D"/>
    <w:rsid w:val="00C872A2"/>
    <w:rsid w:val="00CA7161"/>
    <w:rsid w:val="00CB64AD"/>
    <w:rsid w:val="00CC47B7"/>
    <w:rsid w:val="00D12C48"/>
    <w:rsid w:val="00D46A32"/>
    <w:rsid w:val="00DB6BAB"/>
    <w:rsid w:val="00DE4DB0"/>
    <w:rsid w:val="00DE6652"/>
    <w:rsid w:val="00E00D81"/>
    <w:rsid w:val="00E16AFA"/>
    <w:rsid w:val="00E17CB5"/>
    <w:rsid w:val="00E80501"/>
    <w:rsid w:val="00E900E8"/>
    <w:rsid w:val="00EC7DA9"/>
    <w:rsid w:val="00EE1C3C"/>
    <w:rsid w:val="00EE214D"/>
    <w:rsid w:val="00EE4530"/>
    <w:rsid w:val="00EE497A"/>
    <w:rsid w:val="00EF42C3"/>
    <w:rsid w:val="00FF33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63F0E"/>
  <w15:chartTrackingRefBased/>
  <w15:docId w15:val="{CD1B1B57-6325-46BC-AD16-513DF769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75A"/>
    <w:pPr>
      <w:ind w:left="720"/>
      <w:contextualSpacing/>
    </w:pPr>
  </w:style>
  <w:style w:type="paragraph" w:styleId="Textodeglobo">
    <w:name w:val="Balloon Text"/>
    <w:basedOn w:val="Normal"/>
    <w:link w:val="TextodegloboCar"/>
    <w:uiPriority w:val="99"/>
    <w:semiHidden/>
    <w:unhideWhenUsed/>
    <w:rsid w:val="001B395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B395A"/>
    <w:rPr>
      <w:rFonts w:ascii="Tahoma" w:hAnsi="Tahoma" w:cs="Tahoma"/>
      <w:sz w:val="16"/>
      <w:szCs w:val="16"/>
    </w:rPr>
  </w:style>
  <w:style w:type="paragraph" w:styleId="Encabezado">
    <w:name w:val="header"/>
    <w:basedOn w:val="Normal"/>
    <w:link w:val="EncabezadoCar"/>
    <w:uiPriority w:val="99"/>
    <w:unhideWhenUsed/>
    <w:rsid w:val="004F0CA8"/>
    <w:pPr>
      <w:tabs>
        <w:tab w:val="center" w:pos="4419"/>
        <w:tab w:val="right" w:pos="8838"/>
      </w:tabs>
    </w:pPr>
  </w:style>
  <w:style w:type="character" w:customStyle="1" w:styleId="EncabezadoCar">
    <w:name w:val="Encabezado Car"/>
    <w:basedOn w:val="Fuentedeprrafopredeter"/>
    <w:link w:val="Encabezado"/>
    <w:uiPriority w:val="99"/>
    <w:rsid w:val="004F0CA8"/>
    <w:rPr>
      <w:sz w:val="22"/>
      <w:szCs w:val="22"/>
      <w:lang w:eastAsia="en-US"/>
    </w:rPr>
  </w:style>
  <w:style w:type="paragraph" w:styleId="Piedepgina">
    <w:name w:val="footer"/>
    <w:basedOn w:val="Normal"/>
    <w:link w:val="PiedepginaCar"/>
    <w:uiPriority w:val="99"/>
    <w:unhideWhenUsed/>
    <w:rsid w:val="004F0CA8"/>
    <w:pPr>
      <w:tabs>
        <w:tab w:val="center" w:pos="4419"/>
        <w:tab w:val="right" w:pos="8838"/>
      </w:tabs>
    </w:pPr>
  </w:style>
  <w:style w:type="character" w:customStyle="1" w:styleId="PiedepginaCar">
    <w:name w:val="Pie de página Car"/>
    <w:basedOn w:val="Fuentedeprrafopredeter"/>
    <w:link w:val="Piedepgina"/>
    <w:uiPriority w:val="99"/>
    <w:rsid w:val="004F0CA8"/>
    <w:rPr>
      <w:sz w:val="22"/>
      <w:szCs w:val="22"/>
      <w:lang w:eastAsia="en-US"/>
    </w:rPr>
  </w:style>
  <w:style w:type="table" w:styleId="Tablaconcuadrcula">
    <w:name w:val="Table Grid"/>
    <w:basedOn w:val="Tablanormal"/>
    <w:uiPriority w:val="39"/>
    <w:rsid w:val="00C6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6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1DB3F-A4D0-45E7-B042-39D6BB26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1053</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Lruiz</dc:creator>
  <cp:keywords/>
  <cp:lastModifiedBy>Marie Claude Brunel Manse</cp:lastModifiedBy>
  <cp:revision>31</cp:revision>
  <cp:lastPrinted>2019-01-22T22:41:00Z</cp:lastPrinted>
  <dcterms:created xsi:type="dcterms:W3CDTF">2020-10-15T17:44:00Z</dcterms:created>
  <dcterms:modified xsi:type="dcterms:W3CDTF">2020-10-21T13:59:00Z</dcterms:modified>
</cp:coreProperties>
</file>