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2605" w14:textId="73217EEA" w:rsidR="00150E6B" w:rsidRDefault="00150E6B">
      <w:pPr>
        <w:rPr>
          <w:rFonts w:ascii="Montserrat" w:hAnsi="Montserrat"/>
          <w:b/>
          <w:bCs/>
          <w:sz w:val="28"/>
          <w:szCs w:val="28"/>
        </w:rPr>
      </w:pPr>
      <w:r w:rsidRPr="00A81726">
        <w:rPr>
          <w:rFonts w:ascii="Montserrat" w:hAnsi="Montserrat"/>
          <w:b/>
          <w:bCs/>
          <w:sz w:val="28"/>
          <w:szCs w:val="28"/>
        </w:rPr>
        <w:t>IV. Seguimiento de Acuerdos</w:t>
      </w:r>
    </w:p>
    <w:p w14:paraId="670EDD6D" w14:textId="77777777" w:rsidR="00A81726" w:rsidRPr="00A81726" w:rsidRDefault="00A81726">
      <w:pPr>
        <w:rPr>
          <w:rFonts w:ascii="Montserrat" w:hAnsi="Montserrat"/>
          <w:b/>
          <w:bCs/>
          <w:sz w:val="20"/>
          <w:szCs w:val="20"/>
        </w:rPr>
      </w:pPr>
    </w:p>
    <w:tbl>
      <w:tblPr>
        <w:tblStyle w:val="Tablaconcuadrcula"/>
        <w:tblW w:w="14317" w:type="dxa"/>
        <w:tblInd w:w="-147" w:type="dxa"/>
        <w:tblLayout w:type="fixed"/>
        <w:tblLook w:val="04A0" w:firstRow="1" w:lastRow="0" w:firstColumn="1" w:lastColumn="0" w:noHBand="0" w:noVBand="1"/>
      </w:tblPr>
      <w:tblGrid>
        <w:gridCol w:w="709"/>
        <w:gridCol w:w="2410"/>
        <w:gridCol w:w="1843"/>
        <w:gridCol w:w="4819"/>
        <w:gridCol w:w="851"/>
        <w:gridCol w:w="1276"/>
        <w:gridCol w:w="2409"/>
      </w:tblGrid>
      <w:tr w:rsidR="0090240C" w:rsidRPr="00383204" w14:paraId="124CCE03" w14:textId="77777777" w:rsidTr="0092365B">
        <w:trPr>
          <w:trHeight w:val="182"/>
        </w:trPr>
        <w:tc>
          <w:tcPr>
            <w:tcW w:w="3119" w:type="dxa"/>
            <w:gridSpan w:val="2"/>
            <w:shd w:val="clear" w:color="auto" w:fill="DEEAF6" w:themeFill="accent5" w:themeFillTint="33"/>
          </w:tcPr>
          <w:p w14:paraId="2A2BCDAE" w14:textId="0224633A" w:rsidR="00EE3A92" w:rsidRPr="00383204"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Acuerdo</w:t>
            </w:r>
          </w:p>
        </w:tc>
        <w:tc>
          <w:tcPr>
            <w:tcW w:w="1843" w:type="dxa"/>
            <w:vMerge w:val="restart"/>
            <w:shd w:val="clear" w:color="auto" w:fill="DEEAF6" w:themeFill="accent5" w:themeFillTint="33"/>
          </w:tcPr>
          <w:p w14:paraId="78BF8129" w14:textId="77777777" w:rsidR="00EE3A92"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Área(s) responsable(s)</w:t>
            </w:r>
          </w:p>
          <w:p w14:paraId="6D7E62D3" w14:textId="5DED6EC6" w:rsidR="00235FD1" w:rsidRPr="00235FD1" w:rsidRDefault="00235FD1" w:rsidP="00235FD1">
            <w:pPr>
              <w:jc w:val="center"/>
              <w:rPr>
                <w:rFonts w:ascii="Montserrat" w:hAnsi="Montserrat"/>
                <w:sz w:val="20"/>
                <w:szCs w:val="20"/>
              </w:rPr>
            </w:pPr>
          </w:p>
        </w:tc>
        <w:tc>
          <w:tcPr>
            <w:tcW w:w="4819" w:type="dxa"/>
            <w:vMerge w:val="restart"/>
            <w:shd w:val="clear" w:color="auto" w:fill="DEEAF6" w:themeFill="accent5" w:themeFillTint="33"/>
          </w:tcPr>
          <w:p w14:paraId="563A7B6B" w14:textId="77777777" w:rsidR="007B64B3" w:rsidRPr="00383204" w:rsidRDefault="007B64B3" w:rsidP="0092365B">
            <w:pPr>
              <w:spacing w:line="240" w:lineRule="auto"/>
              <w:jc w:val="center"/>
              <w:rPr>
                <w:rFonts w:ascii="Montserrat" w:eastAsia="Candara" w:hAnsi="Montserrat" w:cs="Candara"/>
                <w:b/>
                <w:spacing w:val="2"/>
                <w:w w:val="102"/>
                <w:sz w:val="20"/>
                <w:szCs w:val="20"/>
              </w:rPr>
            </w:pPr>
          </w:p>
          <w:p w14:paraId="24A237F5" w14:textId="31599F21"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Acciones realizadas</w:t>
            </w:r>
          </w:p>
        </w:tc>
        <w:tc>
          <w:tcPr>
            <w:tcW w:w="851" w:type="dxa"/>
            <w:vMerge w:val="restart"/>
            <w:shd w:val="clear" w:color="auto" w:fill="DEEAF6" w:themeFill="accent5" w:themeFillTint="33"/>
          </w:tcPr>
          <w:p w14:paraId="7E497CDB" w14:textId="5D694E86"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3"/>
                <w:sz w:val="20"/>
                <w:szCs w:val="20"/>
              </w:rPr>
              <w:t>% avan</w:t>
            </w:r>
            <w:r w:rsidR="007B64B3" w:rsidRPr="00383204">
              <w:rPr>
                <w:rFonts w:ascii="Montserrat" w:eastAsia="Candara" w:hAnsi="Montserrat" w:cs="Candara"/>
                <w:b/>
                <w:spacing w:val="2"/>
                <w:w w:val="103"/>
                <w:sz w:val="20"/>
                <w:szCs w:val="20"/>
              </w:rPr>
              <w:t>-</w:t>
            </w:r>
            <w:r w:rsidRPr="00383204">
              <w:rPr>
                <w:rFonts w:ascii="Montserrat" w:eastAsia="Candara" w:hAnsi="Montserrat" w:cs="Candara"/>
                <w:b/>
                <w:spacing w:val="2"/>
                <w:w w:val="103"/>
                <w:sz w:val="20"/>
                <w:szCs w:val="20"/>
              </w:rPr>
              <w:t>ces</w:t>
            </w:r>
          </w:p>
        </w:tc>
        <w:tc>
          <w:tcPr>
            <w:tcW w:w="1276" w:type="dxa"/>
            <w:vMerge w:val="restart"/>
            <w:shd w:val="clear" w:color="auto" w:fill="DEEAF6" w:themeFill="accent5" w:themeFillTint="33"/>
          </w:tcPr>
          <w:p w14:paraId="6447C901" w14:textId="78DBEED1"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Fecha compro</w:t>
            </w:r>
            <w:r w:rsidR="007B64B3" w:rsidRPr="00383204">
              <w:rPr>
                <w:rFonts w:ascii="Montserrat" w:eastAsia="Candara" w:hAnsi="Montserrat" w:cs="Candara"/>
                <w:b/>
                <w:spacing w:val="2"/>
                <w:w w:val="102"/>
                <w:sz w:val="20"/>
                <w:szCs w:val="20"/>
              </w:rPr>
              <w:t>-</w:t>
            </w:r>
            <w:r w:rsidRPr="00383204">
              <w:rPr>
                <w:rFonts w:ascii="Montserrat" w:eastAsia="Candara" w:hAnsi="Montserrat" w:cs="Candara"/>
                <w:b/>
                <w:spacing w:val="2"/>
                <w:w w:val="102"/>
                <w:sz w:val="20"/>
                <w:szCs w:val="20"/>
              </w:rPr>
              <w:t>miso</w:t>
            </w:r>
          </w:p>
        </w:tc>
        <w:tc>
          <w:tcPr>
            <w:tcW w:w="2409" w:type="dxa"/>
            <w:vMerge w:val="restart"/>
            <w:shd w:val="clear" w:color="auto" w:fill="DEEAF6" w:themeFill="accent5" w:themeFillTint="33"/>
          </w:tcPr>
          <w:p w14:paraId="30F7177C" w14:textId="584689D4"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Impacto negativo en caso de no cumplir en tiempo y forma</w:t>
            </w:r>
          </w:p>
        </w:tc>
      </w:tr>
      <w:tr w:rsidR="007B64B3" w:rsidRPr="00383204" w14:paraId="510849AB" w14:textId="77777777" w:rsidTr="0092365B">
        <w:trPr>
          <w:trHeight w:val="181"/>
        </w:trPr>
        <w:tc>
          <w:tcPr>
            <w:tcW w:w="709" w:type="dxa"/>
            <w:shd w:val="clear" w:color="auto" w:fill="DEEAF6" w:themeFill="accent5" w:themeFillTint="33"/>
          </w:tcPr>
          <w:p w14:paraId="1D00397E" w14:textId="16775237" w:rsidR="00EE3A92" w:rsidRPr="00383204"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N</w:t>
            </w:r>
            <w:r w:rsidR="007B64B3" w:rsidRPr="00383204">
              <w:rPr>
                <w:rFonts w:ascii="Montserrat" w:hAnsi="Montserrat"/>
                <w:b/>
                <w:bCs/>
                <w:sz w:val="20"/>
                <w:szCs w:val="20"/>
              </w:rPr>
              <w:t>°</w:t>
            </w:r>
          </w:p>
        </w:tc>
        <w:tc>
          <w:tcPr>
            <w:tcW w:w="2410" w:type="dxa"/>
            <w:shd w:val="clear" w:color="auto" w:fill="DEEAF6" w:themeFill="accent5" w:themeFillTint="33"/>
          </w:tcPr>
          <w:p w14:paraId="5EB1B67D" w14:textId="675F30FD" w:rsidR="00EE3A92" w:rsidRPr="00383204"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Descripción</w:t>
            </w:r>
          </w:p>
        </w:tc>
        <w:tc>
          <w:tcPr>
            <w:tcW w:w="1843" w:type="dxa"/>
            <w:vMerge/>
            <w:shd w:val="clear" w:color="auto" w:fill="DEEAF6" w:themeFill="accent5" w:themeFillTint="33"/>
          </w:tcPr>
          <w:p w14:paraId="62B2D185" w14:textId="77777777" w:rsidR="00EE3A92" w:rsidRPr="00383204" w:rsidRDefault="00EE3A92" w:rsidP="0092365B">
            <w:pPr>
              <w:spacing w:line="240" w:lineRule="auto"/>
              <w:jc w:val="center"/>
              <w:rPr>
                <w:rFonts w:ascii="Montserrat" w:hAnsi="Montserrat"/>
                <w:b/>
                <w:bCs/>
                <w:sz w:val="20"/>
                <w:szCs w:val="20"/>
              </w:rPr>
            </w:pPr>
          </w:p>
        </w:tc>
        <w:tc>
          <w:tcPr>
            <w:tcW w:w="4819" w:type="dxa"/>
            <w:vMerge/>
            <w:shd w:val="clear" w:color="auto" w:fill="DEEAF6" w:themeFill="accent5" w:themeFillTint="33"/>
          </w:tcPr>
          <w:p w14:paraId="011CBBAE" w14:textId="77777777" w:rsidR="00EE3A92" w:rsidRPr="00383204" w:rsidRDefault="00EE3A92" w:rsidP="0092365B">
            <w:pPr>
              <w:spacing w:line="240" w:lineRule="auto"/>
              <w:jc w:val="center"/>
              <w:rPr>
                <w:rFonts w:ascii="Montserrat" w:hAnsi="Montserrat"/>
                <w:b/>
                <w:bCs/>
                <w:sz w:val="20"/>
                <w:szCs w:val="20"/>
              </w:rPr>
            </w:pPr>
          </w:p>
        </w:tc>
        <w:tc>
          <w:tcPr>
            <w:tcW w:w="851" w:type="dxa"/>
            <w:vMerge/>
            <w:shd w:val="clear" w:color="auto" w:fill="DEEAF6" w:themeFill="accent5" w:themeFillTint="33"/>
          </w:tcPr>
          <w:p w14:paraId="4658A5F4" w14:textId="77777777" w:rsidR="00EE3A92" w:rsidRPr="00383204" w:rsidRDefault="00EE3A92" w:rsidP="0092365B">
            <w:pPr>
              <w:spacing w:line="240" w:lineRule="auto"/>
              <w:jc w:val="center"/>
              <w:rPr>
                <w:rFonts w:ascii="Montserrat" w:hAnsi="Montserrat"/>
                <w:b/>
                <w:bCs/>
                <w:sz w:val="20"/>
                <w:szCs w:val="20"/>
              </w:rPr>
            </w:pPr>
          </w:p>
        </w:tc>
        <w:tc>
          <w:tcPr>
            <w:tcW w:w="1276" w:type="dxa"/>
            <w:vMerge/>
            <w:shd w:val="clear" w:color="auto" w:fill="DEEAF6" w:themeFill="accent5" w:themeFillTint="33"/>
          </w:tcPr>
          <w:p w14:paraId="51E34DC5" w14:textId="77777777" w:rsidR="00EE3A92" w:rsidRPr="00383204" w:rsidRDefault="00EE3A92" w:rsidP="0092365B">
            <w:pPr>
              <w:spacing w:line="240" w:lineRule="auto"/>
              <w:jc w:val="center"/>
              <w:rPr>
                <w:rFonts w:ascii="Montserrat" w:hAnsi="Montserrat"/>
                <w:b/>
                <w:bCs/>
                <w:sz w:val="20"/>
                <w:szCs w:val="20"/>
              </w:rPr>
            </w:pPr>
          </w:p>
        </w:tc>
        <w:tc>
          <w:tcPr>
            <w:tcW w:w="2409" w:type="dxa"/>
            <w:vMerge/>
            <w:shd w:val="clear" w:color="auto" w:fill="DEEAF6" w:themeFill="accent5" w:themeFillTint="33"/>
          </w:tcPr>
          <w:p w14:paraId="182B527D" w14:textId="77777777" w:rsidR="00EE3A92" w:rsidRPr="00383204" w:rsidRDefault="00EE3A92" w:rsidP="0092365B">
            <w:pPr>
              <w:spacing w:line="240" w:lineRule="auto"/>
              <w:jc w:val="center"/>
              <w:rPr>
                <w:rFonts w:ascii="Montserrat" w:hAnsi="Montserrat"/>
                <w:b/>
                <w:bCs/>
                <w:sz w:val="20"/>
                <w:szCs w:val="20"/>
              </w:rPr>
            </w:pPr>
          </w:p>
        </w:tc>
      </w:tr>
      <w:tr w:rsidR="00A81726" w:rsidRPr="00383204" w14:paraId="486310E1" w14:textId="77777777" w:rsidTr="0092365B">
        <w:tc>
          <w:tcPr>
            <w:tcW w:w="709" w:type="dxa"/>
          </w:tcPr>
          <w:p w14:paraId="11F0E34E" w14:textId="0FB02E28" w:rsidR="00A81726" w:rsidRPr="00383204" w:rsidRDefault="007B64B3" w:rsidP="0092365B">
            <w:pPr>
              <w:spacing w:after="0" w:line="240" w:lineRule="auto"/>
              <w:rPr>
                <w:rFonts w:ascii="Montserrat" w:hAnsi="Montserrat"/>
                <w:sz w:val="20"/>
                <w:szCs w:val="20"/>
              </w:rPr>
            </w:pPr>
            <w:r w:rsidRPr="00383204">
              <w:rPr>
                <w:rFonts w:ascii="Montserrat" w:hAnsi="Montserrat"/>
                <w:sz w:val="20"/>
                <w:szCs w:val="20"/>
              </w:rPr>
              <w:t>01-II-2020</w:t>
            </w:r>
          </w:p>
        </w:tc>
        <w:tc>
          <w:tcPr>
            <w:tcW w:w="2410" w:type="dxa"/>
          </w:tcPr>
          <w:p w14:paraId="614CEF57" w14:textId="6E2DA2C4" w:rsidR="00A81726" w:rsidRPr="00383204" w:rsidRDefault="007B64B3" w:rsidP="0092365B">
            <w:pPr>
              <w:spacing w:after="0" w:line="240" w:lineRule="auto"/>
              <w:rPr>
                <w:rFonts w:ascii="Montserrat" w:hAnsi="Montserrat"/>
                <w:sz w:val="20"/>
                <w:szCs w:val="20"/>
              </w:rPr>
            </w:pPr>
            <w:r w:rsidRPr="00383204">
              <w:rPr>
                <w:rFonts w:ascii="Montserrat" w:eastAsia="Batang" w:hAnsi="Montserrat" w:cs="Arial"/>
                <w:color w:val="000000"/>
                <w:kern w:val="18"/>
                <w:sz w:val="20"/>
                <w:szCs w:val="20"/>
                <w:lang w:val="es-ES"/>
              </w:rPr>
              <w:t>Revisión de las reglas de operación del Fondo de Investigación Científica y Desarrollo Tecnológico de El Colegio de la Frontera Sur” (FID 784).</w:t>
            </w:r>
          </w:p>
        </w:tc>
        <w:tc>
          <w:tcPr>
            <w:tcW w:w="1843" w:type="dxa"/>
          </w:tcPr>
          <w:p w14:paraId="5F86CBCC" w14:textId="713366F8" w:rsidR="00A81726" w:rsidRPr="00383204" w:rsidRDefault="007B64B3" w:rsidP="0092365B">
            <w:pPr>
              <w:spacing w:after="0" w:line="240" w:lineRule="auto"/>
              <w:rPr>
                <w:rFonts w:ascii="Montserrat" w:hAnsi="Montserrat"/>
                <w:sz w:val="20"/>
                <w:szCs w:val="20"/>
              </w:rPr>
            </w:pPr>
            <w:r w:rsidRPr="00383204">
              <w:rPr>
                <w:rFonts w:ascii="Montserrat" w:hAnsi="Montserrat"/>
                <w:sz w:val="20"/>
                <w:szCs w:val="20"/>
              </w:rPr>
              <w:t>Dirección Administración</w:t>
            </w:r>
          </w:p>
        </w:tc>
        <w:tc>
          <w:tcPr>
            <w:tcW w:w="4819" w:type="dxa"/>
          </w:tcPr>
          <w:p w14:paraId="5145403A" w14:textId="68E5B19F" w:rsidR="00A81726" w:rsidRPr="00383204" w:rsidRDefault="00151542" w:rsidP="00151542">
            <w:pPr>
              <w:spacing w:after="0" w:line="240" w:lineRule="auto"/>
              <w:ind w:right="114"/>
              <w:jc w:val="both"/>
              <w:rPr>
                <w:rFonts w:ascii="Montserrat" w:eastAsia="Candara" w:hAnsi="Montserrat" w:cs="Candara"/>
                <w:sz w:val="20"/>
                <w:szCs w:val="20"/>
              </w:rPr>
            </w:pPr>
            <w:r w:rsidRPr="00151542">
              <w:rPr>
                <w:rFonts w:ascii="Montserrat" w:eastAsia="Candara" w:hAnsi="Montserrat" w:cs="Candara"/>
                <w:sz w:val="20"/>
                <w:szCs w:val="20"/>
              </w:rPr>
              <w:t xml:space="preserve">El día 23 de septiembre de 2020, se reunieron </w:t>
            </w:r>
            <w:r w:rsidR="005F1159">
              <w:rPr>
                <w:rFonts w:ascii="Montserrat" w:eastAsia="Candara" w:hAnsi="Montserrat" w:cs="Candara"/>
                <w:sz w:val="20"/>
                <w:szCs w:val="20"/>
              </w:rPr>
              <w:t>las personas</w:t>
            </w:r>
            <w:r w:rsidRPr="00151542">
              <w:rPr>
                <w:rFonts w:ascii="Montserrat" w:eastAsia="Candara" w:hAnsi="Montserrat" w:cs="Candara"/>
                <w:sz w:val="20"/>
                <w:szCs w:val="20"/>
              </w:rPr>
              <w:t xml:space="preserve"> Titulares de los Centros Públicos de Investigación con personal de la Unidad de Articulación Sectorial y Regional del CONACYT, </w:t>
            </w:r>
            <w:r w:rsidR="005F1159">
              <w:rPr>
                <w:rFonts w:ascii="Montserrat" w:eastAsia="Candara" w:hAnsi="Montserrat" w:cs="Candara"/>
                <w:sz w:val="20"/>
                <w:szCs w:val="20"/>
              </w:rPr>
              <w:t>con la finalidad de</w:t>
            </w:r>
            <w:r w:rsidRPr="00151542">
              <w:rPr>
                <w:rFonts w:ascii="Montserrat" w:eastAsia="Candara" w:hAnsi="Montserrat" w:cs="Candara"/>
                <w:sz w:val="20"/>
                <w:szCs w:val="20"/>
              </w:rPr>
              <w:t xml:space="preserve"> dar seguimiento y fecha de envío de las modificaciones a las reglas de operación de los Fideicomisos de Ciencia y Tecnología (30 de septiembre de 2020)</w:t>
            </w:r>
            <w:r w:rsidR="005F1159">
              <w:rPr>
                <w:rFonts w:ascii="Montserrat" w:eastAsia="Candara" w:hAnsi="Montserrat" w:cs="Candara"/>
                <w:sz w:val="20"/>
                <w:szCs w:val="20"/>
              </w:rPr>
              <w:t xml:space="preserve">. Lo anterior obedece a un </w:t>
            </w:r>
            <w:r w:rsidRPr="00151542">
              <w:rPr>
                <w:rFonts w:ascii="Montserrat" w:eastAsia="Candara" w:hAnsi="Montserrat" w:cs="Candara"/>
                <w:sz w:val="20"/>
                <w:szCs w:val="20"/>
              </w:rPr>
              <w:t xml:space="preserve">compromiso </w:t>
            </w:r>
            <w:r w:rsidR="005F1159">
              <w:rPr>
                <w:rFonts w:ascii="Montserrat" w:eastAsia="Candara" w:hAnsi="Montserrat" w:cs="Candara"/>
                <w:sz w:val="20"/>
                <w:szCs w:val="20"/>
              </w:rPr>
              <w:t xml:space="preserve">del </w:t>
            </w:r>
            <w:r w:rsidR="005F1159" w:rsidRPr="00151542">
              <w:rPr>
                <w:rFonts w:ascii="Montserrat" w:eastAsia="Candara" w:hAnsi="Montserrat" w:cs="Candara"/>
                <w:sz w:val="20"/>
                <w:szCs w:val="20"/>
              </w:rPr>
              <w:t>CONACYT</w:t>
            </w:r>
            <w:r w:rsidRPr="00151542">
              <w:rPr>
                <w:rFonts w:ascii="Montserrat" w:eastAsia="Candara" w:hAnsi="Montserrat" w:cs="Candara"/>
                <w:sz w:val="20"/>
                <w:szCs w:val="20"/>
              </w:rPr>
              <w:t xml:space="preserve"> con la SFP y la SHCP para exceptuarlos de la extinción de dichos fideicomisos</w:t>
            </w:r>
            <w:r w:rsidR="005F1159">
              <w:rPr>
                <w:rFonts w:ascii="Montserrat" w:eastAsia="Candara" w:hAnsi="Montserrat" w:cs="Candara"/>
                <w:sz w:val="20"/>
                <w:szCs w:val="20"/>
              </w:rPr>
              <w:t>. Se</w:t>
            </w:r>
            <w:r w:rsidRPr="00151542">
              <w:rPr>
                <w:rFonts w:ascii="Montserrat" w:eastAsia="Candara" w:hAnsi="Montserrat" w:cs="Candara"/>
                <w:sz w:val="20"/>
                <w:szCs w:val="20"/>
              </w:rPr>
              <w:t xml:space="preserve"> sometió la aprobación de la</w:t>
            </w:r>
            <w:r w:rsidR="005F1159">
              <w:rPr>
                <w:rFonts w:ascii="Montserrat" w:eastAsia="Candara" w:hAnsi="Montserrat" w:cs="Candara"/>
                <w:sz w:val="20"/>
                <w:szCs w:val="20"/>
              </w:rPr>
              <w:t>s</w:t>
            </w:r>
            <w:r w:rsidRPr="00151542">
              <w:rPr>
                <w:rFonts w:ascii="Montserrat" w:eastAsia="Candara" w:hAnsi="Montserrat" w:cs="Candara"/>
                <w:sz w:val="20"/>
                <w:szCs w:val="20"/>
              </w:rPr>
              <w:t xml:space="preserve"> modificaciones a las Reglas de Operación ante el Comité Técnico del Fondo de Investigación Científica y Desarrollo Tecnológico de El Colegio de la Frontera Sur para ser presentadas en la próxima sesión de Órgano de Gobierno de ECOSUR, siendo aprobadas a través del acuerdo</w:t>
            </w:r>
            <w:r w:rsidR="00395F03">
              <w:rPr>
                <w:rFonts w:ascii="Montserrat" w:eastAsia="Candara" w:hAnsi="Montserrat" w:cs="Candara"/>
                <w:sz w:val="20"/>
                <w:szCs w:val="20"/>
              </w:rPr>
              <w:t xml:space="preserve"> </w:t>
            </w:r>
            <w:r w:rsidRPr="00151542">
              <w:rPr>
                <w:rFonts w:ascii="Montserrat" w:eastAsia="Candara" w:hAnsi="Montserrat" w:cs="Candara"/>
                <w:sz w:val="20"/>
                <w:szCs w:val="20"/>
              </w:rPr>
              <w:t>14/3E/20-R adoptado el 29 de septiembre de 2020. Finalmente, se informa que dichas modificaciones a las Reglas de Operación ya están consideradas dentro de la batería de acuerdos que será presentada en la Segunda Sesión Ordinaria de Junta de Gobierno de ECOSUR</w:t>
            </w:r>
            <w:r w:rsidR="00966885">
              <w:rPr>
                <w:rFonts w:ascii="Montserrat" w:eastAsia="Candara" w:hAnsi="Montserrat" w:cs="Candara"/>
                <w:sz w:val="20"/>
                <w:szCs w:val="20"/>
              </w:rPr>
              <w:t xml:space="preserve"> 2020</w:t>
            </w:r>
            <w:r w:rsidRPr="00151542">
              <w:rPr>
                <w:rFonts w:ascii="Montserrat" w:eastAsia="Candara" w:hAnsi="Montserrat" w:cs="Candara"/>
                <w:sz w:val="20"/>
                <w:szCs w:val="20"/>
              </w:rPr>
              <w:t>.</w:t>
            </w:r>
          </w:p>
        </w:tc>
        <w:tc>
          <w:tcPr>
            <w:tcW w:w="851" w:type="dxa"/>
          </w:tcPr>
          <w:p w14:paraId="68BDD938" w14:textId="4C034FF9" w:rsidR="00A81726" w:rsidRPr="00383204" w:rsidRDefault="00151542" w:rsidP="0092365B">
            <w:pPr>
              <w:spacing w:after="0" w:line="240" w:lineRule="auto"/>
              <w:rPr>
                <w:rFonts w:ascii="Montserrat" w:hAnsi="Montserrat"/>
                <w:sz w:val="20"/>
                <w:szCs w:val="20"/>
              </w:rPr>
            </w:pPr>
            <w:r>
              <w:rPr>
                <w:rFonts w:ascii="Montserrat" w:hAnsi="Montserrat"/>
                <w:sz w:val="20"/>
                <w:szCs w:val="20"/>
              </w:rPr>
              <w:t>100%</w:t>
            </w:r>
          </w:p>
        </w:tc>
        <w:tc>
          <w:tcPr>
            <w:tcW w:w="1276" w:type="dxa"/>
          </w:tcPr>
          <w:p w14:paraId="5643259D" w14:textId="361FD355" w:rsidR="00A81726" w:rsidRPr="00383204" w:rsidRDefault="00A81726" w:rsidP="0092365B">
            <w:pPr>
              <w:spacing w:after="0" w:line="240" w:lineRule="auto"/>
              <w:rPr>
                <w:rFonts w:ascii="Montserrat" w:hAnsi="Montserrat"/>
                <w:sz w:val="20"/>
                <w:szCs w:val="20"/>
              </w:rPr>
            </w:pPr>
          </w:p>
        </w:tc>
        <w:tc>
          <w:tcPr>
            <w:tcW w:w="2409" w:type="dxa"/>
          </w:tcPr>
          <w:p w14:paraId="6906E3EE" w14:textId="46ED941D" w:rsidR="00A81726" w:rsidRPr="00383204" w:rsidRDefault="00BA0A40" w:rsidP="00151542">
            <w:pPr>
              <w:spacing w:after="0" w:line="240" w:lineRule="auto"/>
              <w:jc w:val="both"/>
              <w:rPr>
                <w:rFonts w:ascii="Montserrat" w:eastAsia="Candara" w:hAnsi="Montserrat" w:cs="Candara"/>
                <w:sz w:val="20"/>
                <w:szCs w:val="20"/>
              </w:rPr>
            </w:pPr>
            <w:r w:rsidRPr="00383204">
              <w:rPr>
                <w:rFonts w:ascii="Montserrat" w:eastAsia="Candara" w:hAnsi="Montserrat" w:cs="Candara"/>
                <w:sz w:val="20"/>
                <w:szCs w:val="20"/>
              </w:rPr>
              <w:t xml:space="preserve">No dar cumplimiento a uno de los compromisos que realizó </w:t>
            </w:r>
            <w:r w:rsidR="00D344DE" w:rsidRPr="00383204">
              <w:rPr>
                <w:rFonts w:ascii="Montserrat" w:eastAsia="Candara" w:hAnsi="Montserrat" w:cs="Candara"/>
                <w:sz w:val="20"/>
                <w:szCs w:val="20"/>
              </w:rPr>
              <w:t xml:space="preserve">CONACYT </w:t>
            </w:r>
            <w:r w:rsidRPr="00383204">
              <w:rPr>
                <w:rFonts w:ascii="Montserrat" w:eastAsia="Candara" w:hAnsi="Montserrat" w:cs="Candara"/>
                <w:sz w:val="20"/>
                <w:szCs w:val="20"/>
              </w:rPr>
              <w:t>co</w:t>
            </w:r>
            <w:r w:rsidR="00D344DE" w:rsidRPr="00383204">
              <w:rPr>
                <w:rFonts w:ascii="Montserrat" w:eastAsia="Candara" w:hAnsi="Montserrat" w:cs="Candara"/>
                <w:sz w:val="20"/>
                <w:szCs w:val="20"/>
              </w:rPr>
              <w:t xml:space="preserve">n </w:t>
            </w:r>
            <w:r w:rsidRPr="00383204">
              <w:rPr>
                <w:rFonts w:ascii="Montserrat" w:eastAsia="Candara" w:hAnsi="Montserrat" w:cs="Candara"/>
                <w:sz w:val="20"/>
                <w:szCs w:val="20"/>
              </w:rPr>
              <w:t>la</w:t>
            </w:r>
            <w:r w:rsidR="00D344DE" w:rsidRPr="00383204">
              <w:rPr>
                <w:rFonts w:ascii="Montserrat" w:eastAsia="Candara" w:hAnsi="Montserrat" w:cs="Candara"/>
                <w:sz w:val="20"/>
                <w:szCs w:val="20"/>
              </w:rPr>
              <w:t xml:space="preserve"> SHCP y </w:t>
            </w:r>
            <w:r w:rsidR="00974567" w:rsidRPr="00383204">
              <w:rPr>
                <w:rFonts w:ascii="Montserrat" w:eastAsia="Candara" w:hAnsi="Montserrat" w:cs="Candara"/>
                <w:sz w:val="20"/>
                <w:szCs w:val="20"/>
              </w:rPr>
              <w:t>SFP,</w:t>
            </w:r>
            <w:r w:rsidR="00D344DE" w:rsidRPr="00383204">
              <w:rPr>
                <w:rFonts w:ascii="Montserrat" w:eastAsia="Candara" w:hAnsi="Montserrat" w:cs="Candara"/>
                <w:sz w:val="20"/>
                <w:szCs w:val="20"/>
              </w:rPr>
              <w:t xml:space="preserve"> con la finalidad de que no se extinguieran los fideicomisos amparados con la Ley de Ciencia y Tecnología</w:t>
            </w:r>
          </w:p>
        </w:tc>
      </w:tr>
      <w:tr w:rsidR="007B64B3" w:rsidRPr="00383204" w14:paraId="1CCF1BDC" w14:textId="77777777" w:rsidTr="0092365B">
        <w:trPr>
          <w:trHeight w:val="1237"/>
        </w:trPr>
        <w:tc>
          <w:tcPr>
            <w:tcW w:w="709" w:type="dxa"/>
          </w:tcPr>
          <w:p w14:paraId="7C27CEC1" w14:textId="27B23775" w:rsidR="007B64B3" w:rsidRPr="00383204" w:rsidRDefault="007B64B3" w:rsidP="0092365B">
            <w:pPr>
              <w:spacing w:after="0" w:line="240" w:lineRule="auto"/>
              <w:rPr>
                <w:rFonts w:ascii="Montserrat" w:hAnsi="Montserrat"/>
                <w:sz w:val="20"/>
                <w:szCs w:val="20"/>
              </w:rPr>
            </w:pPr>
            <w:r w:rsidRPr="00383204">
              <w:rPr>
                <w:rFonts w:ascii="Montserrat" w:hAnsi="Montserrat"/>
                <w:sz w:val="20"/>
                <w:szCs w:val="20"/>
              </w:rPr>
              <w:lastRenderedPageBreak/>
              <w:t>02-II-2020</w:t>
            </w:r>
          </w:p>
        </w:tc>
        <w:tc>
          <w:tcPr>
            <w:tcW w:w="2410" w:type="dxa"/>
          </w:tcPr>
          <w:p w14:paraId="1E33C59D" w14:textId="2A201721" w:rsidR="007B64B3" w:rsidRPr="00383204" w:rsidRDefault="007B64B3" w:rsidP="0092365B">
            <w:pPr>
              <w:spacing w:after="0" w:line="240" w:lineRule="auto"/>
              <w:rPr>
                <w:rFonts w:ascii="Montserrat" w:eastAsia="Batang" w:hAnsi="Montserrat" w:cs="Arial"/>
                <w:color w:val="000000"/>
                <w:kern w:val="18"/>
                <w:sz w:val="20"/>
                <w:szCs w:val="20"/>
                <w:lang w:val="es-ES"/>
              </w:rPr>
            </w:pPr>
            <w:r w:rsidRPr="00383204">
              <w:rPr>
                <w:rFonts w:ascii="Montserrat" w:eastAsia="Batang" w:hAnsi="Montserrat" w:cs="Arial"/>
                <w:color w:val="000000"/>
                <w:kern w:val="18"/>
                <w:sz w:val="20"/>
                <w:szCs w:val="20"/>
                <w:lang w:val="es-ES"/>
              </w:rPr>
              <w:t>Revisión del orden jurídico aplicable al artículo 29 de Estatuto Orgánico de El Colegio de la Frontera Sur.</w:t>
            </w:r>
          </w:p>
        </w:tc>
        <w:tc>
          <w:tcPr>
            <w:tcW w:w="1843" w:type="dxa"/>
          </w:tcPr>
          <w:p w14:paraId="4330E97B" w14:textId="1DC6B552" w:rsidR="007B64B3" w:rsidRPr="00383204" w:rsidRDefault="007B64B3" w:rsidP="0092365B">
            <w:pPr>
              <w:spacing w:after="0" w:line="240" w:lineRule="auto"/>
              <w:rPr>
                <w:rFonts w:ascii="Montserrat" w:hAnsi="Montserrat"/>
                <w:sz w:val="20"/>
                <w:szCs w:val="20"/>
              </w:rPr>
            </w:pPr>
            <w:r w:rsidRPr="00383204">
              <w:rPr>
                <w:rFonts w:ascii="Montserrat" w:hAnsi="Montserrat"/>
                <w:sz w:val="20"/>
                <w:szCs w:val="20"/>
              </w:rPr>
              <w:t>Dirección de Administración</w:t>
            </w:r>
          </w:p>
        </w:tc>
        <w:tc>
          <w:tcPr>
            <w:tcW w:w="4819" w:type="dxa"/>
          </w:tcPr>
          <w:p w14:paraId="5A6021C6" w14:textId="421F2838" w:rsidR="007B64B3" w:rsidRPr="00383204" w:rsidRDefault="009C083F" w:rsidP="0092365B">
            <w:pPr>
              <w:spacing w:after="0" w:line="240" w:lineRule="auto"/>
              <w:ind w:right="114"/>
              <w:rPr>
                <w:rFonts w:ascii="Montserrat" w:eastAsia="Candara" w:hAnsi="Montserrat" w:cs="Candara"/>
                <w:sz w:val="20"/>
                <w:szCs w:val="20"/>
              </w:rPr>
            </w:pPr>
            <w:r w:rsidRPr="00383204">
              <w:rPr>
                <w:rFonts w:ascii="Montserrat" w:eastAsia="Candara" w:hAnsi="Montserrat" w:cs="Candara"/>
                <w:sz w:val="20"/>
                <w:szCs w:val="20"/>
              </w:rPr>
              <w:t xml:space="preserve">Como se comentó en </w:t>
            </w:r>
            <w:r w:rsidR="00717AAF" w:rsidRPr="00383204">
              <w:rPr>
                <w:rFonts w:ascii="Montserrat" w:eastAsia="Candara" w:hAnsi="Montserrat" w:cs="Candara"/>
                <w:sz w:val="20"/>
                <w:szCs w:val="20"/>
              </w:rPr>
              <w:t>la sesión pasada</w:t>
            </w:r>
            <w:r w:rsidRPr="00383204">
              <w:rPr>
                <w:rFonts w:ascii="Montserrat" w:eastAsia="Candara" w:hAnsi="Montserrat" w:cs="Candara"/>
                <w:sz w:val="20"/>
                <w:szCs w:val="20"/>
              </w:rPr>
              <w:t xml:space="preserve">, </w:t>
            </w:r>
            <w:r w:rsidR="00717AAF" w:rsidRPr="00383204">
              <w:rPr>
                <w:rFonts w:ascii="Montserrat" w:eastAsia="Candara" w:hAnsi="Montserrat" w:cs="Candara"/>
                <w:sz w:val="20"/>
                <w:szCs w:val="20"/>
              </w:rPr>
              <w:t>el Reglamento General para el Otorgamiento de Becas de ECOSUR</w:t>
            </w:r>
            <w:r w:rsidR="0056789B" w:rsidRPr="00383204">
              <w:rPr>
                <w:rFonts w:ascii="Montserrat" w:eastAsia="Candara" w:hAnsi="Montserrat" w:cs="Candara"/>
                <w:sz w:val="20"/>
                <w:szCs w:val="20"/>
              </w:rPr>
              <w:t>,</w:t>
            </w:r>
            <w:r w:rsidR="00717AAF" w:rsidRPr="00383204">
              <w:rPr>
                <w:rFonts w:ascii="Montserrat" w:eastAsia="Candara" w:hAnsi="Montserrat" w:cs="Candara"/>
                <w:sz w:val="20"/>
                <w:szCs w:val="20"/>
              </w:rPr>
              <w:t xml:space="preserve"> </w:t>
            </w:r>
            <w:r w:rsidR="002E122A" w:rsidRPr="00383204">
              <w:rPr>
                <w:rFonts w:ascii="Montserrat" w:eastAsia="Candara" w:hAnsi="Montserrat" w:cs="Candara"/>
                <w:sz w:val="20"/>
                <w:szCs w:val="20"/>
              </w:rPr>
              <w:t xml:space="preserve">hasta hace unas semanas </w:t>
            </w:r>
            <w:r w:rsidR="00717AAF" w:rsidRPr="00383204">
              <w:rPr>
                <w:rFonts w:ascii="Montserrat" w:eastAsia="Candara" w:hAnsi="Montserrat" w:cs="Candara"/>
                <w:sz w:val="20"/>
                <w:szCs w:val="20"/>
              </w:rPr>
              <w:t>vigente</w:t>
            </w:r>
            <w:r w:rsidR="0056789B" w:rsidRPr="00383204">
              <w:rPr>
                <w:rFonts w:ascii="Montserrat" w:eastAsia="Candara" w:hAnsi="Montserrat" w:cs="Candara"/>
                <w:sz w:val="20"/>
                <w:szCs w:val="20"/>
              </w:rPr>
              <w:t>,</w:t>
            </w:r>
            <w:r w:rsidR="00717AAF" w:rsidRPr="00383204">
              <w:rPr>
                <w:rFonts w:ascii="Montserrat" w:eastAsia="Candara" w:hAnsi="Montserrat" w:cs="Candara"/>
                <w:sz w:val="20"/>
                <w:szCs w:val="20"/>
              </w:rPr>
              <w:t xml:space="preserve"> integra</w:t>
            </w:r>
            <w:r w:rsidR="00031B2D">
              <w:rPr>
                <w:rFonts w:ascii="Montserrat" w:eastAsia="Candara" w:hAnsi="Montserrat" w:cs="Candara"/>
                <w:sz w:val="20"/>
                <w:szCs w:val="20"/>
              </w:rPr>
              <w:t>ba</w:t>
            </w:r>
            <w:r w:rsidR="00717AAF" w:rsidRPr="00383204">
              <w:rPr>
                <w:rFonts w:ascii="Montserrat" w:eastAsia="Candara" w:hAnsi="Montserrat" w:cs="Candara"/>
                <w:sz w:val="20"/>
                <w:szCs w:val="20"/>
              </w:rPr>
              <w:t xml:space="preserve"> una referencia al artículo 29 del Estatuto Orgánico (EO) que ya no es válid</w:t>
            </w:r>
            <w:r w:rsidR="00FA60ED" w:rsidRPr="00383204">
              <w:rPr>
                <w:rFonts w:ascii="Montserrat" w:eastAsia="Candara" w:hAnsi="Montserrat" w:cs="Candara"/>
                <w:sz w:val="20"/>
                <w:szCs w:val="20"/>
              </w:rPr>
              <w:t>a</w:t>
            </w:r>
            <w:r w:rsidR="00717AAF" w:rsidRPr="00383204">
              <w:rPr>
                <w:rFonts w:ascii="Montserrat" w:eastAsia="Candara" w:hAnsi="Montserrat" w:cs="Candara"/>
                <w:sz w:val="20"/>
                <w:szCs w:val="20"/>
              </w:rPr>
              <w:t xml:space="preserve"> por la actualización del EO en 2017</w:t>
            </w:r>
            <w:r w:rsidR="0041381D" w:rsidRPr="00383204">
              <w:rPr>
                <w:rFonts w:ascii="Montserrat" w:eastAsia="Candara" w:hAnsi="Montserrat" w:cs="Candara"/>
                <w:sz w:val="20"/>
                <w:szCs w:val="20"/>
              </w:rPr>
              <w:t>, fecha</w:t>
            </w:r>
            <w:r w:rsidR="00717AAF" w:rsidRPr="00383204">
              <w:rPr>
                <w:rFonts w:ascii="Montserrat" w:eastAsia="Candara" w:hAnsi="Montserrat" w:cs="Candara"/>
                <w:sz w:val="20"/>
                <w:szCs w:val="20"/>
              </w:rPr>
              <w:t xml:space="preserve"> posterior al documento de referencia. Al respecto </w:t>
            </w:r>
            <w:r w:rsidR="002E122A" w:rsidRPr="00383204">
              <w:rPr>
                <w:rFonts w:ascii="Montserrat" w:eastAsia="Candara" w:hAnsi="Montserrat" w:cs="Candara"/>
                <w:sz w:val="20"/>
                <w:szCs w:val="20"/>
              </w:rPr>
              <w:t xml:space="preserve">después de enviar el reglamento actualizado </w:t>
            </w:r>
            <w:r w:rsidR="00E302D2" w:rsidRPr="00383204">
              <w:rPr>
                <w:rFonts w:ascii="Montserrat" w:eastAsia="Candara" w:hAnsi="Montserrat" w:cs="Candara"/>
                <w:sz w:val="20"/>
                <w:szCs w:val="20"/>
              </w:rPr>
              <w:t xml:space="preserve">al jurídico del CONACYT para su validación </w:t>
            </w:r>
            <w:r w:rsidR="002E122A" w:rsidRPr="00383204">
              <w:rPr>
                <w:rFonts w:ascii="Montserrat" w:eastAsia="Candara" w:hAnsi="Montserrat" w:cs="Candara"/>
                <w:sz w:val="20"/>
                <w:szCs w:val="20"/>
              </w:rPr>
              <w:t>y aprobación por</w:t>
            </w:r>
            <w:r w:rsidR="00E302D2" w:rsidRPr="00383204">
              <w:rPr>
                <w:rFonts w:ascii="Montserrat" w:eastAsia="Candara" w:hAnsi="Montserrat" w:cs="Candara"/>
                <w:sz w:val="20"/>
                <w:szCs w:val="20"/>
              </w:rPr>
              <w:t xml:space="preserve"> la Junta de Gobierno de ECOSUR</w:t>
            </w:r>
            <w:r w:rsidR="002E122A" w:rsidRPr="00383204">
              <w:rPr>
                <w:rFonts w:ascii="Montserrat" w:eastAsia="Candara" w:hAnsi="Montserrat" w:cs="Candara"/>
                <w:sz w:val="20"/>
                <w:szCs w:val="20"/>
              </w:rPr>
              <w:t xml:space="preserve">, en tres ocasiones entre 2017 y 2020, en la primera sesión ordinaria del Órgano de ECOSUR de este año, se presentó un oficio del C. José Antonio Ruiz Martínez, Director de Consulta y Estudios Normativos del CONACYT dirigido al Mtro. Alfredo Salazar, Director de Articulación de Centros de Investigación de esta misma institución para solicitar opinión favorable de este órgano respecto al documento referido. </w:t>
            </w:r>
            <w:r w:rsidR="00031B2D">
              <w:rPr>
                <w:rFonts w:ascii="Montserrat" w:eastAsia="Candara" w:hAnsi="Montserrat" w:cs="Candara"/>
                <w:sz w:val="20"/>
                <w:szCs w:val="20"/>
              </w:rPr>
              <w:t>Este i</w:t>
            </w:r>
            <w:r w:rsidR="002E122A" w:rsidRPr="00383204">
              <w:rPr>
                <w:rFonts w:ascii="Montserrat" w:eastAsia="Candara" w:hAnsi="Montserrat" w:cs="Candara"/>
                <w:sz w:val="20"/>
                <w:szCs w:val="20"/>
              </w:rPr>
              <w:t>nform</w:t>
            </w:r>
            <w:r w:rsidR="00031B2D">
              <w:rPr>
                <w:rFonts w:ascii="Montserrat" w:eastAsia="Candara" w:hAnsi="Montserrat" w:cs="Candara"/>
                <w:sz w:val="20"/>
                <w:szCs w:val="20"/>
              </w:rPr>
              <w:t>ó</w:t>
            </w:r>
            <w:r w:rsidR="002E122A" w:rsidRPr="00383204">
              <w:rPr>
                <w:rFonts w:ascii="Montserrat" w:eastAsia="Candara" w:hAnsi="Montserrat" w:cs="Candara"/>
                <w:sz w:val="20"/>
                <w:szCs w:val="20"/>
              </w:rPr>
              <w:t xml:space="preserve"> que se enviará a ECOSUR en breve el Reglamento validado sin que a la fecha se haya recibido.</w:t>
            </w:r>
          </w:p>
          <w:p w14:paraId="1578346B" w14:textId="77777777" w:rsidR="00A4169E" w:rsidRDefault="00A4169E" w:rsidP="0092365B">
            <w:pPr>
              <w:spacing w:line="240" w:lineRule="auto"/>
              <w:jc w:val="both"/>
              <w:rPr>
                <w:rFonts w:ascii="Montserrat" w:hAnsi="Montserrat" w:cstheme="minorHAnsi"/>
                <w:b/>
                <w:bCs/>
                <w:sz w:val="20"/>
                <w:szCs w:val="20"/>
              </w:rPr>
            </w:pPr>
            <w:r w:rsidRPr="00383204">
              <w:rPr>
                <w:rFonts w:ascii="Montserrat" w:eastAsia="Candara" w:hAnsi="Montserrat" w:cs="Candara"/>
                <w:sz w:val="20"/>
                <w:szCs w:val="20"/>
              </w:rPr>
              <w:t xml:space="preserve">La junta de Gobierno de ECOSUR aprobó ese mismo día el Reglamento General de Becas por unanimidad bajo el Acuerdo </w:t>
            </w:r>
            <w:r w:rsidRPr="00383204">
              <w:rPr>
                <w:rFonts w:ascii="Montserrat" w:hAnsi="Montserrat" w:cstheme="minorHAnsi"/>
                <w:b/>
                <w:bCs/>
                <w:sz w:val="20"/>
                <w:szCs w:val="20"/>
              </w:rPr>
              <w:t>(R-JG-O-I-20-13).</w:t>
            </w:r>
          </w:p>
          <w:p w14:paraId="4679FE88" w14:textId="261F7B69" w:rsidR="00481A25" w:rsidRPr="00481A25" w:rsidRDefault="00481A25" w:rsidP="0092365B">
            <w:pPr>
              <w:spacing w:line="240" w:lineRule="auto"/>
              <w:jc w:val="both"/>
              <w:rPr>
                <w:rFonts w:ascii="Montserrat" w:hAnsi="Montserrat" w:cstheme="minorHAnsi"/>
                <w:sz w:val="20"/>
                <w:szCs w:val="20"/>
              </w:rPr>
            </w:pPr>
            <w:r w:rsidRPr="00481A25">
              <w:rPr>
                <w:rFonts w:ascii="Montserrat" w:hAnsi="Montserrat" w:cstheme="minorHAnsi"/>
                <w:sz w:val="20"/>
                <w:szCs w:val="20"/>
              </w:rPr>
              <w:t>Una vez recibido oficialmente el Reglamento de Becas validado por CONACYT, se publicará en la Normateca de la institución.</w:t>
            </w:r>
          </w:p>
        </w:tc>
        <w:tc>
          <w:tcPr>
            <w:tcW w:w="851" w:type="dxa"/>
          </w:tcPr>
          <w:p w14:paraId="512681FE" w14:textId="2A3BA018" w:rsidR="007B64B3" w:rsidRPr="00383204" w:rsidRDefault="00A4169E" w:rsidP="0092365B">
            <w:pPr>
              <w:spacing w:after="0" w:line="240" w:lineRule="auto"/>
              <w:rPr>
                <w:rFonts w:ascii="Montserrat" w:hAnsi="Montserrat"/>
                <w:sz w:val="20"/>
                <w:szCs w:val="20"/>
              </w:rPr>
            </w:pPr>
            <w:r w:rsidRPr="00383204">
              <w:rPr>
                <w:rFonts w:ascii="Montserrat" w:hAnsi="Montserrat"/>
                <w:sz w:val="20"/>
                <w:szCs w:val="20"/>
              </w:rPr>
              <w:t>100</w:t>
            </w:r>
            <w:r w:rsidR="00F342A3" w:rsidRPr="00383204">
              <w:rPr>
                <w:rFonts w:ascii="Montserrat" w:hAnsi="Montserrat"/>
                <w:sz w:val="20"/>
                <w:szCs w:val="20"/>
              </w:rPr>
              <w:t>%</w:t>
            </w:r>
          </w:p>
        </w:tc>
        <w:tc>
          <w:tcPr>
            <w:tcW w:w="1276" w:type="dxa"/>
          </w:tcPr>
          <w:p w14:paraId="4D55DE44" w14:textId="2DDC38DA" w:rsidR="007B64B3" w:rsidRPr="00383204" w:rsidRDefault="00CB4FAF" w:rsidP="0092365B">
            <w:pPr>
              <w:spacing w:after="0" w:line="240" w:lineRule="auto"/>
              <w:rPr>
                <w:rFonts w:ascii="Montserrat" w:hAnsi="Montserrat"/>
                <w:sz w:val="20"/>
                <w:szCs w:val="20"/>
              </w:rPr>
            </w:pPr>
            <w:r w:rsidRPr="00383204">
              <w:rPr>
                <w:rFonts w:ascii="Montserrat" w:hAnsi="Montserrat"/>
                <w:sz w:val="20"/>
                <w:szCs w:val="20"/>
              </w:rPr>
              <w:t>07</w:t>
            </w:r>
            <w:r w:rsidR="00165204" w:rsidRPr="00383204">
              <w:rPr>
                <w:rFonts w:ascii="Montserrat" w:hAnsi="Montserrat"/>
                <w:sz w:val="20"/>
                <w:szCs w:val="20"/>
              </w:rPr>
              <w:t>/1</w:t>
            </w:r>
            <w:r w:rsidRPr="00383204">
              <w:rPr>
                <w:rFonts w:ascii="Montserrat" w:hAnsi="Montserrat"/>
                <w:sz w:val="20"/>
                <w:szCs w:val="20"/>
              </w:rPr>
              <w:t>1</w:t>
            </w:r>
            <w:r w:rsidR="00165204" w:rsidRPr="00383204">
              <w:rPr>
                <w:rFonts w:ascii="Montserrat" w:hAnsi="Montserrat"/>
                <w:sz w:val="20"/>
                <w:szCs w:val="20"/>
              </w:rPr>
              <w:t>/2020</w:t>
            </w:r>
          </w:p>
        </w:tc>
        <w:tc>
          <w:tcPr>
            <w:tcW w:w="2409" w:type="dxa"/>
          </w:tcPr>
          <w:p w14:paraId="723CAD3E" w14:textId="0100CDA3" w:rsidR="007B64B3" w:rsidRPr="00383204" w:rsidRDefault="007038E0" w:rsidP="0092365B">
            <w:pPr>
              <w:spacing w:after="0" w:line="240" w:lineRule="auto"/>
              <w:rPr>
                <w:rFonts w:ascii="Montserrat" w:eastAsia="Candara" w:hAnsi="Montserrat" w:cs="Candara"/>
                <w:sz w:val="20"/>
                <w:szCs w:val="20"/>
              </w:rPr>
            </w:pPr>
            <w:r w:rsidRPr="00383204">
              <w:rPr>
                <w:rFonts w:ascii="Montserrat" w:eastAsia="Candara" w:hAnsi="Montserrat" w:cs="Candara"/>
                <w:sz w:val="20"/>
                <w:szCs w:val="20"/>
              </w:rPr>
              <w:t xml:space="preserve">Estar realizando gestiones y pagos sin tener un documento actualizado y que no </w:t>
            </w:r>
            <w:r w:rsidR="00974567" w:rsidRPr="00383204">
              <w:rPr>
                <w:rFonts w:ascii="Montserrat" w:eastAsia="Candara" w:hAnsi="Montserrat" w:cs="Candara"/>
                <w:sz w:val="20"/>
                <w:szCs w:val="20"/>
              </w:rPr>
              <w:t>está</w:t>
            </w:r>
            <w:r w:rsidRPr="00383204">
              <w:rPr>
                <w:rFonts w:ascii="Montserrat" w:eastAsia="Candara" w:hAnsi="Montserrat" w:cs="Candara"/>
                <w:sz w:val="20"/>
                <w:szCs w:val="20"/>
              </w:rPr>
              <w:t xml:space="preserve"> alineado con el Estatuto </w:t>
            </w:r>
            <w:r w:rsidR="00165204" w:rsidRPr="00383204">
              <w:rPr>
                <w:rFonts w:ascii="Montserrat" w:eastAsia="Candara" w:hAnsi="Montserrat" w:cs="Candara"/>
                <w:sz w:val="20"/>
                <w:szCs w:val="20"/>
              </w:rPr>
              <w:t>Orgánico de El Colegio de la Frontera Sur.</w:t>
            </w:r>
          </w:p>
        </w:tc>
      </w:tr>
      <w:tr w:rsidR="007B64B3" w:rsidRPr="0092365B" w14:paraId="67FA7836" w14:textId="77777777" w:rsidTr="0092365B">
        <w:tc>
          <w:tcPr>
            <w:tcW w:w="709" w:type="dxa"/>
          </w:tcPr>
          <w:p w14:paraId="36DDAB0D" w14:textId="0EAAB88F" w:rsidR="007B64B3" w:rsidRPr="0092365B" w:rsidRDefault="00F125CF" w:rsidP="0092365B">
            <w:pPr>
              <w:spacing w:after="0" w:line="240" w:lineRule="auto"/>
              <w:rPr>
                <w:rFonts w:ascii="Montserrat" w:hAnsi="Montserrat"/>
                <w:sz w:val="20"/>
                <w:szCs w:val="20"/>
              </w:rPr>
            </w:pPr>
            <w:r w:rsidRPr="0092365B">
              <w:rPr>
                <w:sz w:val="20"/>
                <w:szCs w:val="20"/>
              </w:rPr>
              <w:lastRenderedPageBreak/>
              <w:br w:type="page"/>
            </w:r>
            <w:r w:rsidR="007B64B3" w:rsidRPr="0092365B">
              <w:rPr>
                <w:rFonts w:ascii="Montserrat" w:hAnsi="Montserrat"/>
                <w:sz w:val="20"/>
                <w:szCs w:val="20"/>
              </w:rPr>
              <w:t>02-II-2020</w:t>
            </w:r>
          </w:p>
        </w:tc>
        <w:tc>
          <w:tcPr>
            <w:tcW w:w="2410" w:type="dxa"/>
          </w:tcPr>
          <w:p w14:paraId="70F7EF15" w14:textId="7123C4D2" w:rsidR="007B64B3" w:rsidRPr="0092365B" w:rsidRDefault="007B64B3" w:rsidP="0092365B">
            <w:pPr>
              <w:spacing w:after="0" w:line="240" w:lineRule="auto"/>
              <w:rPr>
                <w:rFonts w:ascii="Montserrat" w:eastAsia="Batang" w:hAnsi="Montserrat" w:cs="Arial"/>
                <w:color w:val="000000"/>
                <w:kern w:val="18"/>
                <w:sz w:val="20"/>
                <w:szCs w:val="20"/>
                <w:lang w:val="es-ES"/>
              </w:rPr>
            </w:pPr>
            <w:r w:rsidRPr="0092365B">
              <w:rPr>
                <w:rFonts w:ascii="Montserrat" w:eastAsia="Batang" w:hAnsi="Montserrat" w:cs="Arial"/>
                <w:color w:val="000000"/>
                <w:kern w:val="18"/>
                <w:sz w:val="20"/>
                <w:szCs w:val="20"/>
                <w:lang w:val="es-ES"/>
              </w:rPr>
              <w:t>Revisión de los expedientes que se encuentr</w:t>
            </w:r>
            <w:r w:rsidR="004029EA" w:rsidRPr="0092365B">
              <w:rPr>
                <w:rFonts w:ascii="Montserrat" w:eastAsia="Batang" w:hAnsi="Montserrat" w:cs="Arial"/>
                <w:color w:val="000000"/>
                <w:kern w:val="18"/>
                <w:sz w:val="20"/>
                <w:szCs w:val="20"/>
                <w:lang w:val="es-ES"/>
              </w:rPr>
              <w:t>a</w:t>
            </w:r>
            <w:r w:rsidRPr="0092365B">
              <w:rPr>
                <w:rFonts w:ascii="Montserrat" w:eastAsia="Batang" w:hAnsi="Montserrat" w:cs="Arial"/>
                <w:color w:val="000000"/>
                <w:kern w:val="18"/>
                <w:sz w:val="20"/>
                <w:szCs w:val="20"/>
                <w:lang w:val="es-ES"/>
              </w:rPr>
              <w:t>n en el Comité de Ética y de Prevención de Conflictos de Intereses de El Colegio de la Frontera Sur, para que sean debidamente turnados al Órgano Interno de Control cuando cuenten con elementos</w:t>
            </w:r>
          </w:p>
        </w:tc>
        <w:tc>
          <w:tcPr>
            <w:tcW w:w="1843" w:type="dxa"/>
          </w:tcPr>
          <w:p w14:paraId="729BDEE7" w14:textId="1B7DCA1F" w:rsidR="007B64B3" w:rsidRPr="0092365B" w:rsidRDefault="007B64B3" w:rsidP="0092365B">
            <w:pPr>
              <w:spacing w:after="0" w:line="240" w:lineRule="auto"/>
              <w:rPr>
                <w:rFonts w:ascii="Montserrat" w:hAnsi="Montserrat"/>
                <w:sz w:val="20"/>
                <w:szCs w:val="20"/>
              </w:rPr>
            </w:pPr>
            <w:r w:rsidRPr="0092365B">
              <w:rPr>
                <w:rFonts w:ascii="Montserrat" w:hAnsi="Montserrat"/>
                <w:sz w:val="20"/>
                <w:szCs w:val="20"/>
              </w:rPr>
              <w:t>CEPCI</w:t>
            </w:r>
          </w:p>
        </w:tc>
        <w:tc>
          <w:tcPr>
            <w:tcW w:w="4819" w:type="dxa"/>
          </w:tcPr>
          <w:p w14:paraId="60C341DF" w14:textId="5ECEEE90" w:rsidR="00F125CF" w:rsidRPr="0092365B" w:rsidRDefault="00E04F3E" w:rsidP="0092365B">
            <w:pPr>
              <w:spacing w:after="0" w:line="240" w:lineRule="auto"/>
              <w:ind w:right="114"/>
              <w:rPr>
                <w:rFonts w:ascii="Montserrat" w:eastAsia="Candara" w:hAnsi="Montserrat" w:cs="Candara"/>
                <w:sz w:val="20"/>
                <w:szCs w:val="20"/>
              </w:rPr>
            </w:pPr>
            <w:r>
              <w:rPr>
                <w:rFonts w:ascii="Montserrat" w:eastAsia="Candara" w:hAnsi="Montserrat" w:cs="Candara"/>
                <w:sz w:val="20"/>
                <w:szCs w:val="20"/>
              </w:rPr>
              <w:t>Después de revisar</w:t>
            </w:r>
            <w:r w:rsidR="00123A4A">
              <w:rPr>
                <w:rFonts w:ascii="Montserrat" w:eastAsia="Candara" w:hAnsi="Montserrat" w:cs="Candara"/>
                <w:sz w:val="20"/>
                <w:szCs w:val="20"/>
              </w:rPr>
              <w:t xml:space="preserve"> los casos</w:t>
            </w:r>
            <w:r>
              <w:rPr>
                <w:rFonts w:ascii="Montserrat" w:eastAsia="Candara" w:hAnsi="Montserrat" w:cs="Candara"/>
                <w:sz w:val="20"/>
                <w:szCs w:val="20"/>
              </w:rPr>
              <w:t xml:space="preserve"> recibidos</w:t>
            </w:r>
            <w:r w:rsidR="00123A4A">
              <w:rPr>
                <w:rFonts w:ascii="Montserrat" w:eastAsia="Candara" w:hAnsi="Montserrat" w:cs="Candara"/>
                <w:sz w:val="20"/>
                <w:szCs w:val="20"/>
              </w:rPr>
              <w:t xml:space="preserve"> de denuncia</w:t>
            </w:r>
            <w:r>
              <w:rPr>
                <w:rFonts w:ascii="Montserrat" w:eastAsia="Candara" w:hAnsi="Montserrat" w:cs="Candara"/>
                <w:sz w:val="20"/>
                <w:szCs w:val="20"/>
              </w:rPr>
              <w:t xml:space="preserve">s, </w:t>
            </w:r>
            <w:r w:rsidR="00123A4A">
              <w:rPr>
                <w:rFonts w:ascii="Montserrat" w:eastAsia="Candara" w:hAnsi="Montserrat" w:cs="Candara"/>
                <w:sz w:val="20"/>
                <w:szCs w:val="20"/>
              </w:rPr>
              <w:t xml:space="preserve">el CEPCI no ha identificado posibles faltas administrativas por parte de las personas servidoras públicas que han sido denunciadas. Sin embargo, se detectó el caso de una persona servidora pública denunciada en tres ocasiones. En breve se turnarán estas denuncias y sus resoluciones al OIC para su revisión. </w:t>
            </w:r>
          </w:p>
        </w:tc>
        <w:tc>
          <w:tcPr>
            <w:tcW w:w="851" w:type="dxa"/>
          </w:tcPr>
          <w:p w14:paraId="3DC2EEE4" w14:textId="57F939D8" w:rsidR="007B64B3" w:rsidRPr="0092365B" w:rsidRDefault="00031B2D" w:rsidP="0092365B">
            <w:pPr>
              <w:spacing w:after="0" w:line="240" w:lineRule="auto"/>
              <w:rPr>
                <w:rFonts w:ascii="Montserrat" w:hAnsi="Montserrat"/>
                <w:sz w:val="20"/>
                <w:szCs w:val="20"/>
              </w:rPr>
            </w:pPr>
            <w:r>
              <w:rPr>
                <w:rFonts w:ascii="Montserrat" w:hAnsi="Montserrat"/>
                <w:sz w:val="20"/>
                <w:szCs w:val="20"/>
              </w:rPr>
              <w:t>6</w:t>
            </w:r>
            <w:r w:rsidR="00123A4A">
              <w:rPr>
                <w:rFonts w:ascii="Montserrat" w:hAnsi="Montserrat"/>
                <w:sz w:val="20"/>
                <w:szCs w:val="20"/>
              </w:rPr>
              <w:t>0%</w:t>
            </w:r>
          </w:p>
        </w:tc>
        <w:tc>
          <w:tcPr>
            <w:tcW w:w="1276" w:type="dxa"/>
          </w:tcPr>
          <w:p w14:paraId="7A53635C" w14:textId="65656840" w:rsidR="007B64B3" w:rsidRPr="0092365B" w:rsidRDefault="005636B7" w:rsidP="0092365B">
            <w:pPr>
              <w:spacing w:after="0" w:line="240" w:lineRule="auto"/>
              <w:rPr>
                <w:rFonts w:ascii="Montserrat" w:hAnsi="Montserrat"/>
                <w:sz w:val="20"/>
                <w:szCs w:val="20"/>
              </w:rPr>
            </w:pPr>
            <w:r w:rsidRPr="0092365B">
              <w:rPr>
                <w:rFonts w:ascii="Montserrat" w:hAnsi="Montserrat"/>
                <w:sz w:val="20"/>
                <w:szCs w:val="20"/>
              </w:rPr>
              <w:t>07/11/2020</w:t>
            </w:r>
          </w:p>
        </w:tc>
        <w:tc>
          <w:tcPr>
            <w:tcW w:w="2409" w:type="dxa"/>
          </w:tcPr>
          <w:p w14:paraId="6C17CC03" w14:textId="6D4E9097" w:rsidR="007B64B3" w:rsidRPr="0092365B" w:rsidRDefault="00F44A5C" w:rsidP="0092365B">
            <w:pPr>
              <w:spacing w:after="0" w:line="240" w:lineRule="auto"/>
              <w:rPr>
                <w:rFonts w:ascii="Montserrat" w:eastAsia="Candara" w:hAnsi="Montserrat" w:cs="Candara"/>
                <w:sz w:val="20"/>
                <w:szCs w:val="20"/>
              </w:rPr>
            </w:pPr>
            <w:r w:rsidRPr="0092365B">
              <w:rPr>
                <w:rFonts w:ascii="Montserrat" w:eastAsia="Candara" w:hAnsi="Montserrat" w:cs="Candara"/>
                <w:sz w:val="20"/>
                <w:szCs w:val="20"/>
              </w:rPr>
              <w:t>Se está perdiendo la posibilidad de responder a la persona denunciante con todo el rigor de la norma.</w:t>
            </w:r>
          </w:p>
        </w:tc>
      </w:tr>
    </w:tbl>
    <w:p w14:paraId="2B647D8B" w14:textId="77777777" w:rsidR="003B2B76" w:rsidRPr="00A81726" w:rsidRDefault="003B2B76" w:rsidP="0092365B">
      <w:pPr>
        <w:spacing w:line="240" w:lineRule="auto"/>
        <w:rPr>
          <w:rFonts w:ascii="Montserrat" w:hAnsi="Montserrat"/>
        </w:rPr>
      </w:pPr>
    </w:p>
    <w:sectPr w:rsidR="003B2B76" w:rsidRPr="00A81726" w:rsidSect="00EE3A92">
      <w:headerReference w:type="default" r:id="rId7"/>
      <w:footerReference w:type="default" r:id="rId8"/>
      <w:pgSz w:w="15840" w:h="12240" w:orient="landscape"/>
      <w:pgMar w:top="1440" w:right="1080" w:bottom="1440" w:left="108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15C3" w14:textId="77777777" w:rsidR="004745E4" w:rsidRDefault="004745E4" w:rsidP="00EE3A92">
      <w:pPr>
        <w:spacing w:after="0" w:line="240" w:lineRule="auto"/>
      </w:pPr>
      <w:r>
        <w:separator/>
      </w:r>
    </w:p>
  </w:endnote>
  <w:endnote w:type="continuationSeparator" w:id="0">
    <w:p w14:paraId="1E871562" w14:textId="77777777" w:rsidR="004745E4" w:rsidRDefault="004745E4" w:rsidP="00E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214649"/>
      <w:docPartObj>
        <w:docPartGallery w:val="Page Numbers (Bottom of Page)"/>
        <w:docPartUnique/>
      </w:docPartObj>
    </w:sdtPr>
    <w:sdtEndPr>
      <w:rPr>
        <w:rFonts w:ascii="Montserrat" w:hAnsi="Montserrat"/>
      </w:rPr>
    </w:sdtEndPr>
    <w:sdtContent>
      <w:p w14:paraId="093BCD2A" w14:textId="1B77DFD3" w:rsidR="0092365B" w:rsidRPr="0092365B" w:rsidRDefault="0092365B">
        <w:pPr>
          <w:pStyle w:val="Piedepgina"/>
          <w:jc w:val="center"/>
          <w:rPr>
            <w:rFonts w:ascii="Montserrat" w:hAnsi="Montserrat"/>
          </w:rPr>
        </w:pPr>
        <w:r w:rsidRPr="0092365B">
          <w:rPr>
            <w:rFonts w:ascii="Montserrat" w:hAnsi="Montserrat"/>
          </w:rPr>
          <w:fldChar w:fldCharType="begin"/>
        </w:r>
        <w:r w:rsidRPr="0092365B">
          <w:rPr>
            <w:rFonts w:ascii="Montserrat" w:hAnsi="Montserrat"/>
          </w:rPr>
          <w:instrText>PAGE   \* MERGEFORMAT</w:instrText>
        </w:r>
        <w:r w:rsidRPr="0092365B">
          <w:rPr>
            <w:rFonts w:ascii="Montserrat" w:hAnsi="Montserrat"/>
          </w:rPr>
          <w:fldChar w:fldCharType="separate"/>
        </w:r>
        <w:r w:rsidRPr="0092365B">
          <w:rPr>
            <w:rFonts w:ascii="Montserrat" w:hAnsi="Montserrat"/>
            <w:lang w:val="es-ES"/>
          </w:rPr>
          <w:t>2</w:t>
        </w:r>
        <w:r w:rsidRPr="0092365B">
          <w:rPr>
            <w:rFonts w:ascii="Montserrat" w:hAnsi="Montserrat"/>
          </w:rPr>
          <w:fldChar w:fldCharType="end"/>
        </w:r>
      </w:p>
    </w:sdtContent>
  </w:sdt>
  <w:p w14:paraId="2444D0AE" w14:textId="1D3B5BC1" w:rsidR="0053196D" w:rsidRDefault="005319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7F18" w14:textId="77777777" w:rsidR="004745E4" w:rsidRDefault="004745E4" w:rsidP="00EE3A92">
      <w:pPr>
        <w:spacing w:after="0" w:line="240" w:lineRule="auto"/>
      </w:pPr>
      <w:r>
        <w:separator/>
      </w:r>
    </w:p>
  </w:footnote>
  <w:footnote w:type="continuationSeparator" w:id="0">
    <w:p w14:paraId="0FC9C43F" w14:textId="77777777" w:rsidR="004745E4" w:rsidRDefault="004745E4" w:rsidP="00E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C0FF" w14:textId="77777777" w:rsidR="00235FD1" w:rsidRPr="00235FD1" w:rsidRDefault="00235FD1" w:rsidP="005F1159">
    <w:pPr>
      <w:spacing w:after="0"/>
      <w:ind w:left="3261" w:right="5175"/>
      <w:jc w:val="center"/>
      <w:rPr>
        <w:rFonts w:ascii="Montserrat" w:hAnsi="Montserrat"/>
        <w:b/>
        <w:bCs/>
      </w:rPr>
    </w:pPr>
    <w:bookmarkStart w:id="0" w:name="_Hlk53674418"/>
    <w:r w:rsidRPr="00235FD1">
      <w:rPr>
        <w:rFonts w:ascii="Montserrat" w:hAnsi="Montserrat"/>
        <w:b/>
        <w:bCs/>
        <w:noProof/>
      </w:rPr>
      <w:drawing>
        <wp:anchor distT="0" distB="0" distL="114300" distR="114300" simplePos="0" relativeHeight="251659264" behindDoc="0" locked="0" layoutInCell="1" allowOverlap="1" wp14:anchorId="5655A2FD" wp14:editId="2E5AB50E">
          <wp:simplePos x="0" y="0"/>
          <wp:positionH relativeFrom="margin">
            <wp:posOffset>7620</wp:posOffset>
          </wp:positionH>
          <wp:positionV relativeFrom="paragraph">
            <wp:posOffset>9525</wp:posOffset>
          </wp:positionV>
          <wp:extent cx="1755775" cy="59118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sidRPr="00235FD1">
      <w:rPr>
        <w:rFonts w:ascii="Montserrat" w:hAnsi="Montserrat"/>
        <w:b/>
        <w:bCs/>
        <w:noProof/>
      </w:rPr>
      <w:drawing>
        <wp:anchor distT="0" distB="0" distL="114300" distR="114300" simplePos="0" relativeHeight="251662336" behindDoc="0" locked="0" layoutInCell="1" allowOverlap="1" wp14:anchorId="68E09833" wp14:editId="0B3BCCA0">
          <wp:simplePos x="0" y="0"/>
          <wp:positionH relativeFrom="margin">
            <wp:posOffset>7680656</wp:posOffset>
          </wp:positionH>
          <wp:positionV relativeFrom="paragraph">
            <wp:posOffset>-89065</wp:posOffset>
          </wp:positionV>
          <wp:extent cx="429260" cy="672465"/>
          <wp:effectExtent l="0" t="0" r="889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672465"/>
                  </a:xfrm>
                  <a:prstGeom prst="rect">
                    <a:avLst/>
                  </a:prstGeom>
                  <a:noFill/>
                </pic:spPr>
              </pic:pic>
            </a:graphicData>
          </a:graphic>
          <wp14:sizeRelH relativeFrom="page">
            <wp14:pctWidth>0</wp14:pctWidth>
          </wp14:sizeRelH>
          <wp14:sizeRelV relativeFrom="page">
            <wp14:pctHeight>0</wp14:pctHeight>
          </wp14:sizeRelV>
        </wp:anchor>
      </w:drawing>
    </w:r>
    <w:r w:rsidRPr="00235FD1">
      <w:rPr>
        <w:rFonts w:ascii="Montserrat" w:hAnsi="Montserrat"/>
        <w:b/>
        <w:bCs/>
        <w:noProof/>
      </w:rPr>
      <w:drawing>
        <wp:anchor distT="0" distB="0" distL="114300" distR="114300" simplePos="0" relativeHeight="251660288" behindDoc="0" locked="0" layoutInCell="1" allowOverlap="1" wp14:anchorId="1025BF6A" wp14:editId="132CFC35">
          <wp:simplePos x="0" y="0"/>
          <wp:positionH relativeFrom="margin">
            <wp:posOffset>5675851</wp:posOffset>
          </wp:positionH>
          <wp:positionV relativeFrom="paragraph">
            <wp:posOffset>54555</wp:posOffset>
          </wp:positionV>
          <wp:extent cx="1222429" cy="376772"/>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429" cy="376772"/>
                  </a:xfrm>
                  <a:prstGeom prst="rect">
                    <a:avLst/>
                  </a:prstGeom>
                  <a:noFill/>
                </pic:spPr>
              </pic:pic>
            </a:graphicData>
          </a:graphic>
          <wp14:sizeRelH relativeFrom="page">
            <wp14:pctWidth>0</wp14:pctWidth>
          </wp14:sizeRelH>
          <wp14:sizeRelV relativeFrom="page">
            <wp14:pctHeight>0</wp14:pctHeight>
          </wp14:sizeRelV>
        </wp:anchor>
      </w:drawing>
    </w:r>
    <w:r w:rsidRPr="00235FD1">
      <w:rPr>
        <w:rFonts w:ascii="Montserrat" w:hAnsi="Montserrat"/>
        <w:b/>
        <w:bCs/>
        <w:noProof/>
      </w:rPr>
      <w:drawing>
        <wp:anchor distT="0" distB="0" distL="114300" distR="114300" simplePos="0" relativeHeight="251661312" behindDoc="0" locked="0" layoutInCell="1" allowOverlap="1" wp14:anchorId="3FD447A8" wp14:editId="4DCDE008">
          <wp:simplePos x="0" y="0"/>
          <wp:positionH relativeFrom="column">
            <wp:posOffset>7059461</wp:posOffset>
          </wp:positionH>
          <wp:positionV relativeFrom="paragraph">
            <wp:posOffset>-32835</wp:posOffset>
          </wp:positionV>
          <wp:extent cx="469127" cy="527067"/>
          <wp:effectExtent l="0" t="0" r="7620" b="635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598" cy="533213"/>
                  </a:xfrm>
                  <a:prstGeom prst="rect">
                    <a:avLst/>
                  </a:prstGeom>
                  <a:noFill/>
                </pic:spPr>
              </pic:pic>
            </a:graphicData>
          </a:graphic>
          <wp14:sizeRelH relativeFrom="page">
            <wp14:pctWidth>0</wp14:pctWidth>
          </wp14:sizeRelH>
          <wp14:sizeRelV relativeFrom="page">
            <wp14:pctHeight>0</wp14:pctHeight>
          </wp14:sizeRelV>
        </wp:anchor>
      </w:drawing>
    </w:r>
    <w:r w:rsidRPr="00235FD1">
      <w:rPr>
        <w:rFonts w:ascii="Montserrat" w:hAnsi="Montserrat"/>
        <w:b/>
        <w:bCs/>
      </w:rPr>
      <w:t>Comité de Control y Desempeño Institucional</w:t>
    </w:r>
  </w:p>
  <w:p w14:paraId="6C8FB0EE" w14:textId="5DFAB82B" w:rsidR="00235FD1" w:rsidRPr="00235FD1" w:rsidRDefault="00235FD1" w:rsidP="005F1159">
    <w:pPr>
      <w:spacing w:after="0"/>
      <w:ind w:left="3261" w:right="5175"/>
      <w:jc w:val="center"/>
      <w:rPr>
        <w:rFonts w:ascii="Montserrat" w:hAnsi="Montserrat"/>
        <w:b/>
        <w:bCs/>
      </w:rPr>
    </w:pPr>
    <w:r w:rsidRPr="00235FD1">
      <w:rPr>
        <w:rFonts w:ascii="Montserrat" w:hAnsi="Montserrat"/>
        <w:b/>
        <w:bCs/>
      </w:rPr>
      <w:t>El Colegio de la Frontera Sur</w:t>
    </w:r>
  </w:p>
  <w:p w14:paraId="5F839771" w14:textId="18705742" w:rsidR="00235FD1" w:rsidRPr="00235FD1" w:rsidRDefault="00235FD1" w:rsidP="005F1159">
    <w:pPr>
      <w:spacing w:after="160" w:line="259" w:lineRule="auto"/>
      <w:ind w:left="3261" w:right="5175"/>
      <w:jc w:val="center"/>
      <w:rPr>
        <w:rFonts w:ascii="Montserrat" w:hAnsi="Montserrat"/>
        <w:b/>
        <w:bCs/>
      </w:rPr>
    </w:pPr>
    <w:r w:rsidRPr="00235FD1">
      <w:rPr>
        <w:rFonts w:ascii="Montserrat" w:hAnsi="Montserrat"/>
        <w:b/>
        <w:bCs/>
      </w:rPr>
      <w:t>Cuarta Sesión Ordinaria 2020</w:t>
    </w:r>
  </w:p>
  <w:bookmarkEnd w:id="0"/>
  <w:p w14:paraId="0256CD92" w14:textId="2FC956F2" w:rsidR="00EE3A92" w:rsidRDefault="00EE3A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914"/>
    <w:multiLevelType w:val="hybridMultilevel"/>
    <w:tmpl w:val="1DF237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15:restartNumberingAfterBreak="0">
    <w:nsid w:val="31EA091B"/>
    <w:multiLevelType w:val="hybridMultilevel"/>
    <w:tmpl w:val="20360F6E"/>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6E50B7"/>
    <w:multiLevelType w:val="hybridMultilevel"/>
    <w:tmpl w:val="7DC0B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6" w15:restartNumberingAfterBreak="0">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92"/>
    <w:rsid w:val="00031B2D"/>
    <w:rsid w:val="000B4455"/>
    <w:rsid w:val="000D5782"/>
    <w:rsid w:val="0010490C"/>
    <w:rsid w:val="00123A4A"/>
    <w:rsid w:val="001257F8"/>
    <w:rsid w:val="00150E6B"/>
    <w:rsid w:val="00151542"/>
    <w:rsid w:val="001646C1"/>
    <w:rsid w:val="00165204"/>
    <w:rsid w:val="0018186A"/>
    <w:rsid w:val="001E114F"/>
    <w:rsid w:val="001F2EC1"/>
    <w:rsid w:val="00221A96"/>
    <w:rsid w:val="00235FD1"/>
    <w:rsid w:val="00250124"/>
    <w:rsid w:val="00262F2A"/>
    <w:rsid w:val="00285398"/>
    <w:rsid w:val="002B1822"/>
    <w:rsid w:val="002E122A"/>
    <w:rsid w:val="002F659E"/>
    <w:rsid w:val="00363768"/>
    <w:rsid w:val="0037260A"/>
    <w:rsid w:val="00383204"/>
    <w:rsid w:val="00395F03"/>
    <w:rsid w:val="003B2B76"/>
    <w:rsid w:val="003B2F18"/>
    <w:rsid w:val="003E4D4F"/>
    <w:rsid w:val="004029EA"/>
    <w:rsid w:val="0041381D"/>
    <w:rsid w:val="0046499A"/>
    <w:rsid w:val="004745E4"/>
    <w:rsid w:val="00481A25"/>
    <w:rsid w:val="004D2A3D"/>
    <w:rsid w:val="00505A19"/>
    <w:rsid w:val="0053196D"/>
    <w:rsid w:val="005636B7"/>
    <w:rsid w:val="0056789B"/>
    <w:rsid w:val="00593986"/>
    <w:rsid w:val="005B2C6D"/>
    <w:rsid w:val="005E2EBD"/>
    <w:rsid w:val="005F1159"/>
    <w:rsid w:val="00685AD0"/>
    <w:rsid w:val="00694730"/>
    <w:rsid w:val="006C049E"/>
    <w:rsid w:val="006D63FA"/>
    <w:rsid w:val="007038E0"/>
    <w:rsid w:val="00717AAF"/>
    <w:rsid w:val="007559AB"/>
    <w:rsid w:val="007914D9"/>
    <w:rsid w:val="007B64B3"/>
    <w:rsid w:val="007E5723"/>
    <w:rsid w:val="00800F26"/>
    <w:rsid w:val="00836CCF"/>
    <w:rsid w:val="0089236C"/>
    <w:rsid w:val="008E781C"/>
    <w:rsid w:val="008F32C5"/>
    <w:rsid w:val="0090240C"/>
    <w:rsid w:val="0092365B"/>
    <w:rsid w:val="00966885"/>
    <w:rsid w:val="00974567"/>
    <w:rsid w:val="00993DC9"/>
    <w:rsid w:val="009C083F"/>
    <w:rsid w:val="00A40EB0"/>
    <w:rsid w:val="00A4169E"/>
    <w:rsid w:val="00A644B3"/>
    <w:rsid w:val="00A77AD2"/>
    <w:rsid w:val="00A81726"/>
    <w:rsid w:val="00B049FF"/>
    <w:rsid w:val="00B10E57"/>
    <w:rsid w:val="00BA0A40"/>
    <w:rsid w:val="00C70AD5"/>
    <w:rsid w:val="00C77F88"/>
    <w:rsid w:val="00CB46FE"/>
    <w:rsid w:val="00CB4FAF"/>
    <w:rsid w:val="00CB7FA2"/>
    <w:rsid w:val="00CD4D1D"/>
    <w:rsid w:val="00D344DE"/>
    <w:rsid w:val="00D665FF"/>
    <w:rsid w:val="00D81EB8"/>
    <w:rsid w:val="00D97B84"/>
    <w:rsid w:val="00DA478D"/>
    <w:rsid w:val="00E04F3E"/>
    <w:rsid w:val="00E302D2"/>
    <w:rsid w:val="00E56F70"/>
    <w:rsid w:val="00E6274B"/>
    <w:rsid w:val="00E77226"/>
    <w:rsid w:val="00ED4F5C"/>
    <w:rsid w:val="00EE3A92"/>
    <w:rsid w:val="00F125CF"/>
    <w:rsid w:val="00F327CA"/>
    <w:rsid w:val="00F342A3"/>
    <w:rsid w:val="00F44A5C"/>
    <w:rsid w:val="00F96953"/>
    <w:rsid w:val="00FA60ED"/>
    <w:rsid w:val="00FD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6C4"/>
  <w15:chartTrackingRefBased/>
  <w15:docId w15:val="{A5597DEE-981F-4209-AC7F-3CDDE72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2"/>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A92"/>
  </w:style>
  <w:style w:type="paragraph" w:styleId="Piedepgina">
    <w:name w:val="footer"/>
    <w:basedOn w:val="Normal"/>
    <w:link w:val="PiedepginaCar"/>
    <w:uiPriority w:val="99"/>
    <w:unhideWhenUsed/>
    <w:rsid w:val="00EE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A92"/>
  </w:style>
  <w:style w:type="table" w:styleId="Tablaconcuadrcula">
    <w:name w:val="Table Grid"/>
    <w:basedOn w:val="Tablanormal"/>
    <w:uiPriority w:val="39"/>
    <w:rsid w:val="00EE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240C"/>
    <w:pPr>
      <w:spacing w:after="0" w:line="240" w:lineRule="auto"/>
      <w:ind w:left="720"/>
      <w:contextualSpacing/>
    </w:pPr>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90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dc:description/>
  <cp:lastModifiedBy>Marie Claude Brunel Manse</cp:lastModifiedBy>
  <cp:revision>15</cp:revision>
  <cp:lastPrinted>2020-08-06T15:20:00Z</cp:lastPrinted>
  <dcterms:created xsi:type="dcterms:W3CDTF">2020-10-28T02:05:00Z</dcterms:created>
  <dcterms:modified xsi:type="dcterms:W3CDTF">2020-11-11T16:13:00Z</dcterms:modified>
</cp:coreProperties>
</file>