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8CA0B" w14:textId="575CFC1B" w:rsidR="00D32FA5" w:rsidRPr="00D32FA5" w:rsidRDefault="00D32FA5" w:rsidP="0083137B">
      <w:pPr>
        <w:spacing w:after="0" w:line="240" w:lineRule="auto"/>
        <w:ind w:right="72"/>
        <w:jc w:val="center"/>
        <w:rPr>
          <w:rFonts w:ascii="Montserrat" w:eastAsia="Calibri" w:hAnsi="Montserrat" w:cs="Times New Roman"/>
          <w:b/>
          <w:bCs/>
          <w:sz w:val="28"/>
          <w:szCs w:val="28"/>
        </w:rPr>
      </w:pPr>
      <w:r w:rsidRPr="00D32FA5">
        <w:rPr>
          <w:rFonts w:ascii="Montserrat" w:eastAsia="Calibri" w:hAnsi="Montserrat" w:cs="Times New Roman"/>
          <w:b/>
          <w:bCs/>
          <w:sz w:val="28"/>
          <w:szCs w:val="28"/>
        </w:rPr>
        <w:t>Comité de Control y Desempeño Institucional</w:t>
      </w:r>
    </w:p>
    <w:p w14:paraId="0E3D0907" w14:textId="02F02FC2" w:rsidR="00D32FA5" w:rsidRDefault="00D32FA5" w:rsidP="0083137B">
      <w:pPr>
        <w:spacing w:after="0" w:line="240" w:lineRule="auto"/>
        <w:ind w:right="-70"/>
        <w:jc w:val="center"/>
        <w:rPr>
          <w:rFonts w:ascii="Montserrat" w:eastAsia="Calibri" w:hAnsi="Montserrat" w:cs="Times New Roman"/>
          <w:b/>
          <w:bCs/>
          <w:sz w:val="28"/>
          <w:szCs w:val="28"/>
        </w:rPr>
      </w:pPr>
      <w:r w:rsidRPr="00D32FA5">
        <w:rPr>
          <w:rFonts w:ascii="Montserrat" w:eastAsia="Calibri" w:hAnsi="Montserrat" w:cs="Times New Roman"/>
          <w:b/>
          <w:bCs/>
          <w:sz w:val="28"/>
          <w:szCs w:val="28"/>
        </w:rPr>
        <w:t>Cuarta Sesión Ordinaria 2020</w:t>
      </w:r>
    </w:p>
    <w:p w14:paraId="5A51ACBE" w14:textId="77777777" w:rsidR="00A82399" w:rsidRDefault="00A82399" w:rsidP="00D32FA5">
      <w:pPr>
        <w:spacing w:after="0"/>
        <w:ind w:right="-70"/>
        <w:rPr>
          <w:rFonts w:ascii="Montserrat" w:eastAsia="Calibri" w:hAnsi="Montserrat" w:cs="Times New Roman"/>
          <w:b/>
          <w:bCs/>
          <w:sz w:val="28"/>
          <w:szCs w:val="28"/>
        </w:rPr>
      </w:pPr>
    </w:p>
    <w:p w14:paraId="349FAD86" w14:textId="445A6140" w:rsidR="00D32FA5" w:rsidRDefault="00D32FA5" w:rsidP="00D32FA5">
      <w:pPr>
        <w:spacing w:after="0"/>
        <w:ind w:right="-70"/>
        <w:rPr>
          <w:rFonts w:ascii="Montserrat" w:eastAsia="Calibri" w:hAnsi="Montserrat" w:cs="Times New Roman"/>
          <w:b/>
          <w:bCs/>
          <w:sz w:val="28"/>
          <w:szCs w:val="28"/>
        </w:rPr>
      </w:pPr>
      <w:r>
        <w:rPr>
          <w:rFonts w:ascii="Montserrat" w:eastAsia="Calibri" w:hAnsi="Montserrat" w:cs="Times New Roman"/>
          <w:b/>
          <w:bCs/>
          <w:sz w:val="28"/>
          <w:szCs w:val="28"/>
        </w:rPr>
        <w:t>VII. Desempeño Institucional</w:t>
      </w:r>
    </w:p>
    <w:p w14:paraId="5460BC5C" w14:textId="6D788828" w:rsidR="00D32FA5" w:rsidRPr="00D32FA5" w:rsidRDefault="00D32FA5" w:rsidP="00D32FA5">
      <w:pPr>
        <w:pStyle w:val="Prrafodelista"/>
        <w:numPr>
          <w:ilvl w:val="0"/>
          <w:numId w:val="1"/>
        </w:numPr>
        <w:spacing w:after="0"/>
        <w:ind w:right="-70"/>
        <w:rPr>
          <w:rFonts w:ascii="Montserrat" w:eastAsia="Calibri" w:hAnsi="Montserrat" w:cs="Times New Roman"/>
          <w:b/>
          <w:bCs/>
        </w:rPr>
      </w:pPr>
      <w:r w:rsidRPr="00D32FA5">
        <w:rPr>
          <w:rFonts w:ascii="Montserrat" w:eastAsia="Calibri" w:hAnsi="Montserrat" w:cs="Times New Roman"/>
          <w:b/>
          <w:bCs/>
        </w:rPr>
        <w:t>Programas presupuestarios</w:t>
      </w:r>
    </w:p>
    <w:p w14:paraId="440C4671" w14:textId="0C270336" w:rsidR="00D32FA5" w:rsidRPr="007F75F3" w:rsidRDefault="00D32FA5" w:rsidP="007F75F3">
      <w:pPr>
        <w:pStyle w:val="Prrafodelista"/>
        <w:numPr>
          <w:ilvl w:val="0"/>
          <w:numId w:val="2"/>
        </w:numPr>
        <w:spacing w:after="0"/>
        <w:ind w:right="-70"/>
        <w:rPr>
          <w:rFonts w:ascii="Montserrat" w:eastAsia="Calibri" w:hAnsi="Montserrat" w:cs="Times New Roman"/>
          <w:b/>
          <w:bCs/>
        </w:rPr>
      </w:pPr>
      <w:r w:rsidRPr="007F75F3">
        <w:rPr>
          <w:rFonts w:ascii="Montserrat" w:eastAsia="Calibri" w:hAnsi="Montserrat" w:cs="Times New Roman"/>
          <w:b/>
          <w:bCs/>
        </w:rPr>
        <w:t>Indicadores CAR</w:t>
      </w:r>
    </w:p>
    <w:p w14:paraId="1AD4C2D3" w14:textId="4E185AD0" w:rsidR="007F75F3" w:rsidRPr="008328CF" w:rsidRDefault="007F75F3" w:rsidP="007F75F3">
      <w:pPr>
        <w:spacing w:after="0"/>
        <w:ind w:right="-70"/>
        <w:rPr>
          <w:rFonts w:ascii="Montserrat" w:eastAsia="Calibri" w:hAnsi="Montserrat" w:cs="Times New Roman"/>
          <w:b/>
          <w:bCs/>
          <w:sz w:val="16"/>
          <w:szCs w:val="16"/>
        </w:rPr>
      </w:pPr>
    </w:p>
    <w:tbl>
      <w:tblPr>
        <w:tblW w:w="9351" w:type="dxa"/>
        <w:tblCellMar>
          <w:left w:w="70" w:type="dxa"/>
          <w:right w:w="70" w:type="dxa"/>
        </w:tblCellMar>
        <w:tblLook w:val="04A0" w:firstRow="1" w:lastRow="0" w:firstColumn="1" w:lastColumn="0" w:noHBand="0" w:noVBand="1"/>
      </w:tblPr>
      <w:tblGrid>
        <w:gridCol w:w="1697"/>
        <w:gridCol w:w="2178"/>
        <w:gridCol w:w="2499"/>
        <w:gridCol w:w="1559"/>
        <w:gridCol w:w="1418"/>
      </w:tblGrid>
      <w:tr w:rsidR="00FB38FA" w:rsidRPr="00FB38FA" w14:paraId="5CAE11FA" w14:textId="77777777" w:rsidTr="00A82399">
        <w:trPr>
          <w:trHeight w:val="630"/>
        </w:trPr>
        <w:tc>
          <w:tcPr>
            <w:tcW w:w="1697" w:type="dxa"/>
            <w:tcBorders>
              <w:top w:val="single" w:sz="4" w:space="0" w:color="auto"/>
              <w:left w:val="single" w:sz="4" w:space="0" w:color="808080"/>
              <w:bottom w:val="single" w:sz="4" w:space="0" w:color="808080"/>
              <w:right w:val="single" w:sz="4" w:space="0" w:color="808080"/>
            </w:tcBorders>
            <w:shd w:val="clear" w:color="auto" w:fill="D9E2F3" w:themeFill="accent1" w:themeFillTint="33"/>
            <w:hideMark/>
          </w:tcPr>
          <w:p w14:paraId="4BF3A299" w14:textId="5239B9AB" w:rsidR="00FB38FA" w:rsidRPr="00FB38FA" w:rsidRDefault="00FB38FA" w:rsidP="00FB38FA">
            <w:pPr>
              <w:spacing w:after="0" w:line="240" w:lineRule="auto"/>
              <w:jc w:val="center"/>
              <w:rPr>
                <w:rFonts w:ascii="Montserrat" w:eastAsia="Times New Roman" w:hAnsi="Montserrat" w:cs="Calibri"/>
                <w:b/>
                <w:bCs/>
                <w:color w:val="000000"/>
                <w:lang w:eastAsia="es-MX"/>
              </w:rPr>
            </w:pPr>
            <w:r>
              <w:rPr>
                <w:rFonts w:ascii="Montserrat" w:eastAsia="Times New Roman" w:hAnsi="Montserrat" w:cs="Calibri"/>
                <w:b/>
                <w:bCs/>
                <w:color w:val="000000"/>
                <w:lang w:eastAsia="es-MX"/>
              </w:rPr>
              <w:t>Programa</w:t>
            </w:r>
          </w:p>
        </w:tc>
        <w:tc>
          <w:tcPr>
            <w:tcW w:w="2178" w:type="dxa"/>
            <w:tcBorders>
              <w:top w:val="single" w:sz="4" w:space="0" w:color="auto"/>
              <w:left w:val="nil"/>
              <w:bottom w:val="single" w:sz="4" w:space="0" w:color="808080"/>
              <w:right w:val="single" w:sz="4" w:space="0" w:color="808080"/>
            </w:tcBorders>
            <w:shd w:val="clear" w:color="auto" w:fill="D9E2F3" w:themeFill="accent1" w:themeFillTint="33"/>
            <w:hideMark/>
          </w:tcPr>
          <w:p w14:paraId="5CB1A1A5" w14:textId="332E54C6" w:rsidR="00FB38FA" w:rsidRPr="00FB38FA" w:rsidRDefault="00FB38FA" w:rsidP="00FB38FA">
            <w:pPr>
              <w:spacing w:after="0" w:line="240" w:lineRule="auto"/>
              <w:jc w:val="center"/>
              <w:rPr>
                <w:rFonts w:ascii="Montserrat" w:eastAsia="Times New Roman" w:hAnsi="Montserrat" w:cs="Calibri"/>
                <w:b/>
                <w:bCs/>
                <w:color w:val="000000"/>
                <w:lang w:eastAsia="es-MX"/>
              </w:rPr>
            </w:pPr>
            <w:r>
              <w:rPr>
                <w:rFonts w:ascii="Montserrat" w:eastAsia="Times New Roman" w:hAnsi="Montserrat" w:cs="Calibri"/>
                <w:b/>
                <w:bCs/>
                <w:color w:val="000000"/>
                <w:lang w:eastAsia="es-MX"/>
              </w:rPr>
              <w:t>Indicador</w:t>
            </w:r>
          </w:p>
        </w:tc>
        <w:tc>
          <w:tcPr>
            <w:tcW w:w="2499" w:type="dxa"/>
            <w:tcBorders>
              <w:top w:val="single" w:sz="4" w:space="0" w:color="auto"/>
              <w:left w:val="nil"/>
              <w:bottom w:val="single" w:sz="4" w:space="0" w:color="808080"/>
              <w:right w:val="single" w:sz="4" w:space="0" w:color="808080"/>
            </w:tcBorders>
            <w:shd w:val="clear" w:color="auto" w:fill="D9E2F3" w:themeFill="accent1" w:themeFillTint="33"/>
            <w:hideMark/>
          </w:tcPr>
          <w:p w14:paraId="25931D85" w14:textId="745BC598" w:rsidR="00FB38FA" w:rsidRPr="00FB38FA" w:rsidRDefault="00FB38FA" w:rsidP="00FB38FA">
            <w:pPr>
              <w:spacing w:after="0" w:line="240" w:lineRule="auto"/>
              <w:jc w:val="center"/>
              <w:rPr>
                <w:rFonts w:ascii="Montserrat" w:eastAsia="Times New Roman" w:hAnsi="Montserrat" w:cs="Calibri"/>
                <w:b/>
                <w:bCs/>
                <w:color w:val="000000"/>
                <w:lang w:eastAsia="es-MX"/>
              </w:rPr>
            </w:pPr>
            <w:r>
              <w:rPr>
                <w:rFonts w:ascii="Montserrat" w:eastAsia="Times New Roman" w:hAnsi="Montserrat" w:cs="Calibri"/>
                <w:b/>
                <w:bCs/>
                <w:color w:val="000000"/>
                <w:lang w:eastAsia="es-MX"/>
              </w:rPr>
              <w:t>Unidad de medida</w:t>
            </w:r>
          </w:p>
        </w:tc>
        <w:tc>
          <w:tcPr>
            <w:tcW w:w="1559" w:type="dxa"/>
            <w:tcBorders>
              <w:top w:val="single" w:sz="4" w:space="0" w:color="auto"/>
              <w:left w:val="nil"/>
              <w:bottom w:val="single" w:sz="4" w:space="0" w:color="808080"/>
              <w:right w:val="single" w:sz="4" w:space="0" w:color="808080"/>
            </w:tcBorders>
            <w:shd w:val="clear" w:color="auto" w:fill="D9E2F3" w:themeFill="accent1" w:themeFillTint="33"/>
            <w:hideMark/>
          </w:tcPr>
          <w:p w14:paraId="17E04458" w14:textId="10F420D8" w:rsidR="00FB38FA" w:rsidRPr="00FB38FA" w:rsidRDefault="00FB38FA" w:rsidP="00FB38FA">
            <w:pPr>
              <w:spacing w:after="0" w:line="240" w:lineRule="auto"/>
              <w:jc w:val="center"/>
              <w:rPr>
                <w:rFonts w:ascii="Montserrat" w:eastAsia="Times New Roman" w:hAnsi="Montserrat" w:cs="Calibri"/>
                <w:b/>
                <w:bCs/>
                <w:color w:val="000000"/>
                <w:lang w:eastAsia="es-MX"/>
              </w:rPr>
            </w:pPr>
            <w:r w:rsidRPr="00FB38FA">
              <w:rPr>
                <w:rFonts w:ascii="Montserrat" w:eastAsia="Times New Roman" w:hAnsi="Montserrat" w:cs="Calibri"/>
                <w:b/>
                <w:bCs/>
                <w:color w:val="000000"/>
                <w:lang w:eastAsia="es-MX"/>
              </w:rPr>
              <w:t>A</w:t>
            </w:r>
            <w:r>
              <w:rPr>
                <w:rFonts w:ascii="Montserrat" w:eastAsia="Times New Roman" w:hAnsi="Montserrat" w:cs="Calibri"/>
                <w:b/>
                <w:bCs/>
                <w:color w:val="000000"/>
                <w:lang w:eastAsia="es-MX"/>
              </w:rPr>
              <w:t xml:space="preserve">lcanzado </w:t>
            </w:r>
            <w:r w:rsidR="00A82399">
              <w:rPr>
                <w:rFonts w:ascii="Montserrat" w:eastAsia="Times New Roman" w:hAnsi="Montserrat" w:cs="Calibri"/>
                <w:b/>
                <w:bCs/>
                <w:color w:val="000000"/>
                <w:lang w:eastAsia="es-MX"/>
              </w:rPr>
              <w:t>e</w:t>
            </w:r>
            <w:r>
              <w:rPr>
                <w:rFonts w:ascii="Montserrat" w:eastAsia="Times New Roman" w:hAnsi="Montserrat" w:cs="Calibri"/>
                <w:b/>
                <w:bCs/>
                <w:color w:val="000000"/>
                <w:lang w:eastAsia="es-MX"/>
              </w:rPr>
              <w:t>ne-sept</w:t>
            </w:r>
            <w:r w:rsidRPr="00FB38FA">
              <w:rPr>
                <w:rFonts w:ascii="Montserrat" w:eastAsia="Times New Roman" w:hAnsi="Montserrat" w:cs="Calibri"/>
                <w:b/>
                <w:bCs/>
                <w:color w:val="000000"/>
                <w:lang w:eastAsia="es-MX"/>
              </w:rPr>
              <w:t xml:space="preserve"> 2020</w:t>
            </w:r>
          </w:p>
        </w:tc>
        <w:tc>
          <w:tcPr>
            <w:tcW w:w="1418" w:type="dxa"/>
            <w:tcBorders>
              <w:top w:val="single" w:sz="4" w:space="0" w:color="auto"/>
              <w:left w:val="nil"/>
              <w:bottom w:val="single" w:sz="4" w:space="0" w:color="808080"/>
              <w:right w:val="single" w:sz="4" w:space="0" w:color="808080"/>
            </w:tcBorders>
            <w:shd w:val="clear" w:color="auto" w:fill="D9E2F3" w:themeFill="accent1" w:themeFillTint="33"/>
            <w:hideMark/>
          </w:tcPr>
          <w:p w14:paraId="11AAB352" w14:textId="661358CF" w:rsidR="00FB38FA" w:rsidRPr="00FB38FA" w:rsidRDefault="00FB38FA" w:rsidP="00FB38FA">
            <w:pPr>
              <w:spacing w:after="0" w:line="240" w:lineRule="auto"/>
              <w:jc w:val="center"/>
              <w:rPr>
                <w:rFonts w:ascii="Montserrat" w:eastAsia="Times New Roman" w:hAnsi="Montserrat" w:cs="Calibri"/>
                <w:b/>
                <w:bCs/>
                <w:lang w:eastAsia="es-MX"/>
              </w:rPr>
            </w:pPr>
            <w:r>
              <w:rPr>
                <w:rFonts w:ascii="Montserrat" w:eastAsia="Times New Roman" w:hAnsi="Montserrat" w:cs="Calibri"/>
                <w:b/>
                <w:bCs/>
                <w:lang w:eastAsia="es-MX"/>
              </w:rPr>
              <w:t xml:space="preserve">Meta </w:t>
            </w:r>
            <w:r w:rsidRPr="00FB38FA">
              <w:rPr>
                <w:rFonts w:ascii="Montserrat" w:eastAsia="Times New Roman" w:hAnsi="Montserrat" w:cs="Calibri"/>
                <w:b/>
                <w:bCs/>
                <w:lang w:eastAsia="es-MX"/>
              </w:rPr>
              <w:t>2020</w:t>
            </w:r>
          </w:p>
        </w:tc>
      </w:tr>
      <w:tr w:rsidR="00FB38FA" w:rsidRPr="00FB38FA" w14:paraId="7F720F26" w14:textId="77777777" w:rsidTr="00A82399">
        <w:trPr>
          <w:trHeight w:val="375"/>
        </w:trPr>
        <w:tc>
          <w:tcPr>
            <w:tcW w:w="1697" w:type="dxa"/>
            <w:vMerge w:val="restart"/>
            <w:tcBorders>
              <w:top w:val="nil"/>
              <w:left w:val="single" w:sz="4" w:space="0" w:color="808080"/>
              <w:bottom w:val="single" w:sz="4" w:space="0" w:color="808080"/>
              <w:right w:val="single" w:sz="4" w:space="0" w:color="808080"/>
            </w:tcBorders>
            <w:shd w:val="clear" w:color="auto" w:fill="auto"/>
            <w:hideMark/>
          </w:tcPr>
          <w:p w14:paraId="1CF47EB6"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Investigación Científica</w:t>
            </w:r>
          </w:p>
        </w:tc>
        <w:tc>
          <w:tcPr>
            <w:tcW w:w="2178" w:type="dxa"/>
            <w:vMerge w:val="restart"/>
            <w:tcBorders>
              <w:top w:val="nil"/>
              <w:left w:val="single" w:sz="4" w:space="0" w:color="808080"/>
              <w:bottom w:val="single" w:sz="4" w:space="0" w:color="808080"/>
              <w:right w:val="single" w:sz="4" w:space="0" w:color="808080"/>
            </w:tcBorders>
            <w:shd w:val="clear" w:color="auto" w:fill="auto"/>
            <w:hideMark/>
          </w:tcPr>
          <w:p w14:paraId="6AADCC41"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Generación de conocimiento de calidad</w:t>
            </w:r>
          </w:p>
        </w:tc>
        <w:tc>
          <w:tcPr>
            <w:tcW w:w="2499" w:type="dxa"/>
            <w:tcBorders>
              <w:top w:val="nil"/>
              <w:left w:val="nil"/>
              <w:bottom w:val="single" w:sz="4" w:space="0" w:color="808080"/>
              <w:right w:val="single" w:sz="4" w:space="0" w:color="808080"/>
            </w:tcBorders>
            <w:shd w:val="clear" w:color="auto" w:fill="auto"/>
            <w:hideMark/>
          </w:tcPr>
          <w:p w14:paraId="2881C609"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publicaciones arbitradas</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15971ABE"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293</w:t>
            </w:r>
          </w:p>
        </w:tc>
        <w:tc>
          <w:tcPr>
            <w:tcW w:w="1418" w:type="dxa"/>
            <w:tcBorders>
              <w:top w:val="nil"/>
              <w:left w:val="nil"/>
              <w:bottom w:val="single" w:sz="4" w:space="0" w:color="808080"/>
              <w:right w:val="single" w:sz="4" w:space="0" w:color="808080"/>
            </w:tcBorders>
            <w:shd w:val="clear" w:color="auto" w:fill="auto"/>
            <w:hideMark/>
          </w:tcPr>
          <w:p w14:paraId="60E9ABD6"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334</w:t>
            </w:r>
          </w:p>
        </w:tc>
      </w:tr>
      <w:tr w:rsidR="00FB38FA" w:rsidRPr="00FB38FA" w14:paraId="5C8AC196"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55BC1FE9"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2D211845"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69ACD4BF"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investigadores del Centro</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266AA0BE"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156</w:t>
            </w:r>
          </w:p>
        </w:tc>
        <w:tc>
          <w:tcPr>
            <w:tcW w:w="1418" w:type="dxa"/>
            <w:tcBorders>
              <w:top w:val="nil"/>
              <w:left w:val="nil"/>
              <w:bottom w:val="single" w:sz="4" w:space="0" w:color="808080"/>
              <w:right w:val="single" w:sz="4" w:space="0" w:color="808080"/>
            </w:tcBorders>
            <w:shd w:val="clear" w:color="auto" w:fill="auto"/>
            <w:hideMark/>
          </w:tcPr>
          <w:p w14:paraId="63A56E71"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164</w:t>
            </w:r>
          </w:p>
        </w:tc>
      </w:tr>
      <w:tr w:rsidR="00FB38FA" w:rsidRPr="00FB38FA" w14:paraId="1BD7F213"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52317DD8"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4FB5A5F4"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D9E2F3" w:themeFill="accent1" w:themeFillTint="33"/>
            <w:hideMark/>
          </w:tcPr>
          <w:p w14:paraId="06AC5D5B"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1D862C20"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1.88</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3F5786B7"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2.04</w:t>
            </w:r>
          </w:p>
        </w:tc>
      </w:tr>
      <w:tr w:rsidR="00FB38FA" w:rsidRPr="00FB38FA" w14:paraId="349ADF7E" w14:textId="77777777" w:rsidTr="00A82399">
        <w:trPr>
          <w:trHeight w:val="660"/>
        </w:trPr>
        <w:tc>
          <w:tcPr>
            <w:tcW w:w="1697" w:type="dxa"/>
            <w:vMerge/>
            <w:tcBorders>
              <w:top w:val="nil"/>
              <w:left w:val="single" w:sz="4" w:space="0" w:color="808080"/>
              <w:bottom w:val="single" w:sz="4" w:space="0" w:color="808080"/>
              <w:right w:val="single" w:sz="4" w:space="0" w:color="808080"/>
            </w:tcBorders>
            <w:vAlign w:val="center"/>
            <w:hideMark/>
          </w:tcPr>
          <w:p w14:paraId="466E8357"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val="restart"/>
            <w:tcBorders>
              <w:top w:val="nil"/>
              <w:left w:val="single" w:sz="4" w:space="0" w:color="808080"/>
              <w:bottom w:val="single" w:sz="4" w:space="0" w:color="808080"/>
              <w:right w:val="single" w:sz="4" w:space="0" w:color="808080"/>
            </w:tcBorders>
            <w:shd w:val="clear" w:color="auto" w:fill="auto"/>
            <w:hideMark/>
          </w:tcPr>
          <w:p w14:paraId="18B1828A"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Proyectos externos por investigador</w:t>
            </w:r>
          </w:p>
        </w:tc>
        <w:tc>
          <w:tcPr>
            <w:tcW w:w="2499" w:type="dxa"/>
            <w:tcBorders>
              <w:top w:val="nil"/>
              <w:left w:val="nil"/>
              <w:bottom w:val="single" w:sz="4" w:space="0" w:color="808080"/>
              <w:right w:val="single" w:sz="4" w:space="0" w:color="808080"/>
            </w:tcBorders>
            <w:shd w:val="clear" w:color="auto" w:fill="auto"/>
            <w:hideMark/>
          </w:tcPr>
          <w:p w14:paraId="6CE9AB1E"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xml:space="preserve">No. de proyectos de investigación financiados con recursos externos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5B568692"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59</w:t>
            </w:r>
          </w:p>
        </w:tc>
        <w:tc>
          <w:tcPr>
            <w:tcW w:w="1418" w:type="dxa"/>
            <w:tcBorders>
              <w:top w:val="nil"/>
              <w:left w:val="nil"/>
              <w:bottom w:val="single" w:sz="4" w:space="0" w:color="808080"/>
              <w:right w:val="single" w:sz="4" w:space="0" w:color="808080"/>
            </w:tcBorders>
            <w:shd w:val="clear" w:color="auto" w:fill="auto"/>
            <w:hideMark/>
          </w:tcPr>
          <w:p w14:paraId="217585CD"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50</w:t>
            </w:r>
          </w:p>
        </w:tc>
      </w:tr>
      <w:tr w:rsidR="00FB38FA" w:rsidRPr="00FB38FA" w14:paraId="7B11F32D"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347CAC55"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2DEBFE44"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518631D2"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investigadores del Centro</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24322B32"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156</w:t>
            </w:r>
          </w:p>
        </w:tc>
        <w:tc>
          <w:tcPr>
            <w:tcW w:w="1418" w:type="dxa"/>
            <w:tcBorders>
              <w:top w:val="nil"/>
              <w:left w:val="nil"/>
              <w:bottom w:val="single" w:sz="4" w:space="0" w:color="808080"/>
              <w:right w:val="single" w:sz="4" w:space="0" w:color="808080"/>
            </w:tcBorders>
            <w:shd w:val="clear" w:color="auto" w:fill="auto"/>
            <w:hideMark/>
          </w:tcPr>
          <w:p w14:paraId="33AFD1D7"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164</w:t>
            </w:r>
          </w:p>
        </w:tc>
      </w:tr>
      <w:tr w:rsidR="00FB38FA" w:rsidRPr="00FB38FA" w14:paraId="29A6DD34"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7AAB0FE3"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0F8D7220"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D9E2F3" w:themeFill="accent1" w:themeFillTint="33"/>
            <w:hideMark/>
          </w:tcPr>
          <w:p w14:paraId="405FF670"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3C7E0519"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0.38</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499664D3"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0.30</w:t>
            </w:r>
          </w:p>
        </w:tc>
      </w:tr>
      <w:tr w:rsidR="00FB38FA" w:rsidRPr="00FB38FA" w14:paraId="07E20C45" w14:textId="77777777" w:rsidTr="00A82399">
        <w:trPr>
          <w:trHeight w:val="1650"/>
        </w:trPr>
        <w:tc>
          <w:tcPr>
            <w:tcW w:w="1697" w:type="dxa"/>
            <w:vMerge w:val="restart"/>
            <w:tcBorders>
              <w:top w:val="nil"/>
              <w:left w:val="single" w:sz="4" w:space="0" w:color="808080"/>
              <w:bottom w:val="single" w:sz="4" w:space="0" w:color="808080"/>
              <w:right w:val="single" w:sz="4" w:space="0" w:color="808080"/>
            </w:tcBorders>
            <w:shd w:val="clear" w:color="auto" w:fill="auto"/>
            <w:hideMark/>
          </w:tcPr>
          <w:p w14:paraId="0180D29C"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Formación de Recursos Humanos</w:t>
            </w:r>
          </w:p>
        </w:tc>
        <w:tc>
          <w:tcPr>
            <w:tcW w:w="2178" w:type="dxa"/>
            <w:vMerge w:val="restart"/>
            <w:tcBorders>
              <w:top w:val="nil"/>
              <w:left w:val="single" w:sz="4" w:space="0" w:color="808080"/>
              <w:bottom w:val="single" w:sz="4" w:space="0" w:color="808080"/>
              <w:right w:val="single" w:sz="4" w:space="0" w:color="808080"/>
            </w:tcBorders>
            <w:shd w:val="clear" w:color="auto" w:fill="auto"/>
            <w:hideMark/>
          </w:tcPr>
          <w:p w14:paraId="461C5F6C"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Calidad de los posgrados</w:t>
            </w:r>
          </w:p>
        </w:tc>
        <w:tc>
          <w:tcPr>
            <w:tcW w:w="2499" w:type="dxa"/>
            <w:tcBorders>
              <w:top w:val="nil"/>
              <w:left w:val="nil"/>
              <w:bottom w:val="single" w:sz="4" w:space="0" w:color="808080"/>
              <w:right w:val="single" w:sz="4" w:space="0" w:color="808080"/>
            </w:tcBorders>
            <w:shd w:val="clear" w:color="auto" w:fill="auto"/>
            <w:hideMark/>
          </w:tcPr>
          <w:p w14:paraId="49858747"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programas registrados en el PNPC de reciente creación + (2) x No. de programas registrados en el PNPC en desarrollo + (3) x No. de programas registrados en el PNPC consolidados + (4) x No. de programas registrados en el PNPC de competencia internacional</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22A39A51" w14:textId="34B4E16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(2X</w:t>
            </w:r>
            <w:r w:rsidR="008328CF" w:rsidRPr="00FB38FA">
              <w:rPr>
                <w:rFonts w:ascii="Montserrat" w:eastAsia="Times New Roman" w:hAnsi="Montserrat" w:cs="Calibri"/>
                <w:sz w:val="20"/>
                <w:szCs w:val="20"/>
                <w:lang w:eastAsia="es-MX"/>
              </w:rPr>
              <w:t>1) +(</w:t>
            </w:r>
            <w:r w:rsidRPr="00FB38FA">
              <w:rPr>
                <w:rFonts w:ascii="Montserrat" w:eastAsia="Times New Roman" w:hAnsi="Montserrat" w:cs="Calibri"/>
                <w:sz w:val="20"/>
                <w:szCs w:val="20"/>
                <w:lang w:eastAsia="es-MX"/>
              </w:rPr>
              <w:t>3X</w:t>
            </w:r>
            <w:r w:rsidR="008328CF" w:rsidRPr="00FB38FA">
              <w:rPr>
                <w:rFonts w:ascii="Montserrat" w:eastAsia="Times New Roman" w:hAnsi="Montserrat" w:cs="Calibri"/>
                <w:sz w:val="20"/>
                <w:szCs w:val="20"/>
                <w:lang w:eastAsia="es-MX"/>
              </w:rPr>
              <w:t>1) +(</w:t>
            </w:r>
            <w:r w:rsidRPr="00FB38FA">
              <w:rPr>
                <w:rFonts w:ascii="Montserrat" w:eastAsia="Times New Roman" w:hAnsi="Montserrat" w:cs="Calibri"/>
                <w:sz w:val="20"/>
                <w:szCs w:val="20"/>
                <w:lang w:eastAsia="es-MX"/>
              </w:rPr>
              <w:t>4X1)</w:t>
            </w:r>
            <w:r w:rsidRPr="00FB38FA">
              <w:rPr>
                <w:rFonts w:ascii="Montserrat" w:eastAsia="Times New Roman" w:hAnsi="Montserrat" w:cs="Calibri"/>
                <w:sz w:val="20"/>
                <w:szCs w:val="20"/>
                <w:lang w:eastAsia="es-MX"/>
              </w:rPr>
              <w:br/>
              <w:t>9</w:t>
            </w:r>
          </w:p>
        </w:tc>
        <w:tc>
          <w:tcPr>
            <w:tcW w:w="1418" w:type="dxa"/>
            <w:tcBorders>
              <w:top w:val="nil"/>
              <w:left w:val="nil"/>
              <w:bottom w:val="single" w:sz="4" w:space="0" w:color="808080"/>
              <w:right w:val="single" w:sz="4" w:space="0" w:color="808080"/>
            </w:tcBorders>
            <w:shd w:val="clear" w:color="auto" w:fill="auto"/>
            <w:hideMark/>
          </w:tcPr>
          <w:p w14:paraId="7963E200" w14:textId="1A3B047A"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1+(2X</w:t>
            </w:r>
            <w:r w:rsidR="008328CF" w:rsidRPr="00FB38FA">
              <w:rPr>
                <w:rFonts w:ascii="Montserrat" w:eastAsia="Times New Roman" w:hAnsi="Montserrat" w:cs="Calibri"/>
                <w:sz w:val="20"/>
                <w:szCs w:val="20"/>
                <w:lang w:eastAsia="es-MX"/>
              </w:rPr>
              <w:t>1) +(</w:t>
            </w:r>
            <w:r w:rsidRPr="00FB38FA">
              <w:rPr>
                <w:rFonts w:ascii="Montserrat" w:eastAsia="Times New Roman" w:hAnsi="Montserrat" w:cs="Calibri"/>
                <w:sz w:val="20"/>
                <w:szCs w:val="20"/>
                <w:lang w:eastAsia="es-MX"/>
              </w:rPr>
              <w:t>3X</w:t>
            </w:r>
            <w:r w:rsidR="008328CF" w:rsidRPr="00FB38FA">
              <w:rPr>
                <w:rFonts w:ascii="Montserrat" w:eastAsia="Times New Roman" w:hAnsi="Montserrat" w:cs="Calibri"/>
                <w:sz w:val="20"/>
                <w:szCs w:val="20"/>
                <w:lang w:eastAsia="es-MX"/>
              </w:rPr>
              <w:t>1) +(</w:t>
            </w:r>
            <w:r w:rsidRPr="00FB38FA">
              <w:rPr>
                <w:rFonts w:ascii="Montserrat" w:eastAsia="Times New Roman" w:hAnsi="Montserrat" w:cs="Calibri"/>
                <w:sz w:val="20"/>
                <w:szCs w:val="20"/>
                <w:lang w:eastAsia="es-MX"/>
              </w:rPr>
              <w:t>4X1)</w:t>
            </w:r>
            <w:r w:rsidRPr="00FB38FA">
              <w:rPr>
                <w:rFonts w:ascii="Montserrat" w:eastAsia="Times New Roman" w:hAnsi="Montserrat" w:cs="Calibri"/>
                <w:sz w:val="20"/>
                <w:szCs w:val="20"/>
                <w:lang w:eastAsia="es-MX"/>
              </w:rPr>
              <w:br/>
              <w:t>10</w:t>
            </w:r>
          </w:p>
        </w:tc>
      </w:tr>
      <w:tr w:rsidR="00FB38FA" w:rsidRPr="00FB38FA" w14:paraId="0E887D94" w14:textId="77777777" w:rsidTr="00A82399">
        <w:trPr>
          <w:trHeight w:val="645"/>
        </w:trPr>
        <w:tc>
          <w:tcPr>
            <w:tcW w:w="1697" w:type="dxa"/>
            <w:vMerge/>
            <w:tcBorders>
              <w:top w:val="nil"/>
              <w:left w:val="single" w:sz="4" w:space="0" w:color="808080"/>
              <w:bottom w:val="single" w:sz="4" w:space="0" w:color="808080"/>
              <w:right w:val="single" w:sz="4" w:space="0" w:color="808080"/>
            </w:tcBorders>
            <w:vAlign w:val="center"/>
            <w:hideMark/>
          </w:tcPr>
          <w:p w14:paraId="05FD66B2"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655973E8"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33C082CB"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(4) x No. de programas de posgrado reconocidos por CONACYT en el PNPC</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7B6674B8"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(4X3)</w:t>
            </w:r>
            <w:r w:rsidRPr="00FB38FA">
              <w:rPr>
                <w:rFonts w:ascii="Montserrat" w:eastAsia="Times New Roman" w:hAnsi="Montserrat" w:cs="Calibri"/>
                <w:sz w:val="20"/>
                <w:szCs w:val="20"/>
                <w:lang w:eastAsia="es-MX"/>
              </w:rPr>
              <w:br/>
              <w:t>12</w:t>
            </w:r>
          </w:p>
        </w:tc>
        <w:tc>
          <w:tcPr>
            <w:tcW w:w="1418" w:type="dxa"/>
            <w:tcBorders>
              <w:top w:val="nil"/>
              <w:left w:val="nil"/>
              <w:bottom w:val="single" w:sz="4" w:space="0" w:color="808080"/>
              <w:right w:val="single" w:sz="4" w:space="0" w:color="808080"/>
            </w:tcBorders>
            <w:shd w:val="clear" w:color="auto" w:fill="auto"/>
            <w:hideMark/>
          </w:tcPr>
          <w:p w14:paraId="2498A1EB"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(4X4)</w:t>
            </w:r>
            <w:r w:rsidRPr="00FB38FA">
              <w:rPr>
                <w:rFonts w:ascii="Montserrat" w:eastAsia="Times New Roman" w:hAnsi="Montserrat" w:cs="Calibri"/>
                <w:sz w:val="20"/>
                <w:szCs w:val="20"/>
                <w:lang w:eastAsia="es-MX"/>
              </w:rPr>
              <w:br/>
              <w:t>16</w:t>
            </w:r>
          </w:p>
        </w:tc>
      </w:tr>
      <w:tr w:rsidR="008328CF" w:rsidRPr="00FB38FA" w14:paraId="38C4293B" w14:textId="77777777" w:rsidTr="00A82399">
        <w:trPr>
          <w:trHeight w:val="375"/>
        </w:trPr>
        <w:tc>
          <w:tcPr>
            <w:tcW w:w="1697" w:type="dxa"/>
            <w:vMerge/>
            <w:tcBorders>
              <w:top w:val="nil"/>
              <w:left w:val="single" w:sz="4" w:space="0" w:color="808080"/>
              <w:bottom w:val="single" w:sz="4" w:space="0" w:color="auto"/>
              <w:right w:val="single" w:sz="4" w:space="0" w:color="808080"/>
            </w:tcBorders>
            <w:vAlign w:val="center"/>
            <w:hideMark/>
          </w:tcPr>
          <w:p w14:paraId="25465C00"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auto"/>
              <w:right w:val="single" w:sz="4" w:space="0" w:color="808080"/>
            </w:tcBorders>
            <w:vAlign w:val="center"/>
            <w:hideMark/>
          </w:tcPr>
          <w:p w14:paraId="17443F8C"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auto"/>
              <w:right w:val="single" w:sz="4" w:space="0" w:color="808080"/>
            </w:tcBorders>
            <w:shd w:val="clear" w:color="auto" w:fill="D9E2F3" w:themeFill="accent1" w:themeFillTint="33"/>
            <w:hideMark/>
          </w:tcPr>
          <w:p w14:paraId="3046A5A4"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auto"/>
              <w:right w:val="single" w:sz="4" w:space="0" w:color="808080"/>
            </w:tcBorders>
            <w:shd w:val="clear" w:color="auto" w:fill="D9E2F3" w:themeFill="accent1" w:themeFillTint="33"/>
            <w:hideMark/>
          </w:tcPr>
          <w:p w14:paraId="214D5EDE"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0.75</w:t>
            </w:r>
          </w:p>
        </w:tc>
        <w:tc>
          <w:tcPr>
            <w:tcW w:w="1418" w:type="dxa"/>
            <w:tcBorders>
              <w:top w:val="nil"/>
              <w:left w:val="nil"/>
              <w:bottom w:val="single" w:sz="4" w:space="0" w:color="auto"/>
              <w:right w:val="single" w:sz="4" w:space="0" w:color="808080"/>
            </w:tcBorders>
            <w:shd w:val="clear" w:color="auto" w:fill="D9E2F3" w:themeFill="accent1" w:themeFillTint="33"/>
            <w:hideMark/>
          </w:tcPr>
          <w:p w14:paraId="303D3FC5"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0.63</w:t>
            </w:r>
          </w:p>
        </w:tc>
      </w:tr>
      <w:tr w:rsidR="00FB38FA" w:rsidRPr="00FB38FA" w14:paraId="01BDD0A9" w14:textId="77777777" w:rsidTr="00A82399">
        <w:trPr>
          <w:trHeight w:val="1320"/>
        </w:trPr>
        <w:tc>
          <w:tcPr>
            <w:tcW w:w="1697" w:type="dxa"/>
            <w:vMerge/>
            <w:tcBorders>
              <w:top w:val="single" w:sz="4" w:space="0" w:color="auto"/>
              <w:left w:val="single" w:sz="4" w:space="0" w:color="auto"/>
              <w:bottom w:val="single" w:sz="4" w:space="0" w:color="auto"/>
              <w:right w:val="single" w:sz="4" w:space="0" w:color="auto"/>
            </w:tcBorders>
            <w:vAlign w:val="center"/>
            <w:hideMark/>
          </w:tcPr>
          <w:p w14:paraId="586E8CE8"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4207D45"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Generación de recursos humanos especializados</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D728381"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xml:space="preserve">No. de alumnos graduados en programas de especialidad del PNPC + No. de alumnos </w:t>
            </w:r>
            <w:r w:rsidRPr="00FB38FA">
              <w:rPr>
                <w:rFonts w:ascii="Montserrat" w:eastAsia="Times New Roman" w:hAnsi="Montserrat" w:cs="Calibri"/>
                <w:color w:val="000000"/>
                <w:sz w:val="20"/>
                <w:szCs w:val="20"/>
                <w:lang w:eastAsia="es-MX"/>
              </w:rPr>
              <w:lastRenderedPageBreak/>
              <w:t>graduados en programas de maestría del PNPC + No. de alumnos graduados en programas de doctorado del PNPC</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2BB19E"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lastRenderedPageBreak/>
              <w:t>0 + 31 + 12</w:t>
            </w:r>
            <w:r w:rsidRPr="00FB38FA">
              <w:rPr>
                <w:rFonts w:ascii="Montserrat" w:eastAsia="Times New Roman" w:hAnsi="Montserrat" w:cs="Calibri"/>
                <w:sz w:val="20"/>
                <w:szCs w:val="20"/>
                <w:lang w:eastAsia="es-MX"/>
              </w:rPr>
              <w:br/>
              <w:t>43</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049FEBA"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0 + 70 + 48</w:t>
            </w:r>
            <w:r w:rsidRPr="00FB38FA">
              <w:rPr>
                <w:rFonts w:ascii="Montserrat" w:eastAsia="Times New Roman" w:hAnsi="Montserrat" w:cs="Calibri"/>
                <w:sz w:val="20"/>
                <w:szCs w:val="20"/>
                <w:lang w:eastAsia="es-MX"/>
              </w:rPr>
              <w:br/>
              <w:t>118</w:t>
            </w:r>
          </w:p>
        </w:tc>
      </w:tr>
      <w:tr w:rsidR="00FB38FA" w:rsidRPr="00FB38FA" w14:paraId="0663175F" w14:textId="77777777" w:rsidTr="00A82399">
        <w:trPr>
          <w:trHeight w:val="375"/>
        </w:trPr>
        <w:tc>
          <w:tcPr>
            <w:tcW w:w="1697" w:type="dxa"/>
            <w:vMerge/>
            <w:tcBorders>
              <w:top w:val="single" w:sz="4" w:space="0" w:color="auto"/>
              <w:left w:val="single" w:sz="4" w:space="0" w:color="808080"/>
              <w:bottom w:val="single" w:sz="4" w:space="0" w:color="808080"/>
              <w:right w:val="single" w:sz="4" w:space="0" w:color="808080"/>
            </w:tcBorders>
            <w:vAlign w:val="center"/>
            <w:hideMark/>
          </w:tcPr>
          <w:p w14:paraId="69FA8183"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single" w:sz="4" w:space="0" w:color="auto"/>
              <w:left w:val="single" w:sz="4" w:space="0" w:color="808080"/>
              <w:bottom w:val="single" w:sz="4" w:space="0" w:color="808080"/>
              <w:right w:val="single" w:sz="4" w:space="0" w:color="808080"/>
            </w:tcBorders>
            <w:vAlign w:val="center"/>
            <w:hideMark/>
          </w:tcPr>
          <w:p w14:paraId="4A477F8B"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single" w:sz="4" w:space="0" w:color="auto"/>
              <w:left w:val="nil"/>
              <w:bottom w:val="single" w:sz="4" w:space="0" w:color="808080"/>
              <w:right w:val="single" w:sz="4" w:space="0" w:color="808080"/>
            </w:tcBorders>
            <w:shd w:val="clear" w:color="auto" w:fill="auto"/>
            <w:hideMark/>
          </w:tcPr>
          <w:p w14:paraId="33F4D921"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Investigadores del Centro</w:t>
            </w:r>
          </w:p>
        </w:tc>
        <w:tc>
          <w:tcPr>
            <w:tcW w:w="1559" w:type="dxa"/>
            <w:tcBorders>
              <w:top w:val="single" w:sz="4" w:space="0" w:color="auto"/>
              <w:left w:val="nil"/>
              <w:bottom w:val="single" w:sz="4" w:space="0" w:color="808080"/>
              <w:right w:val="single" w:sz="4" w:space="0" w:color="808080"/>
            </w:tcBorders>
            <w:shd w:val="clear" w:color="auto" w:fill="D9E2F3" w:themeFill="accent1" w:themeFillTint="33"/>
            <w:hideMark/>
          </w:tcPr>
          <w:p w14:paraId="533A9477"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156</w:t>
            </w:r>
          </w:p>
        </w:tc>
        <w:tc>
          <w:tcPr>
            <w:tcW w:w="1418" w:type="dxa"/>
            <w:tcBorders>
              <w:top w:val="single" w:sz="4" w:space="0" w:color="auto"/>
              <w:left w:val="nil"/>
              <w:bottom w:val="single" w:sz="4" w:space="0" w:color="808080"/>
              <w:right w:val="single" w:sz="4" w:space="0" w:color="808080"/>
            </w:tcBorders>
            <w:shd w:val="clear" w:color="auto" w:fill="auto"/>
            <w:hideMark/>
          </w:tcPr>
          <w:p w14:paraId="095E6C08"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164</w:t>
            </w:r>
          </w:p>
        </w:tc>
      </w:tr>
      <w:tr w:rsidR="008328CF" w:rsidRPr="00FB38FA" w14:paraId="1F70AD1D"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22844E49"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48BC17E4"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D9E2F3" w:themeFill="accent1" w:themeFillTint="33"/>
            <w:hideMark/>
          </w:tcPr>
          <w:p w14:paraId="72ED69B4"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18FD2377"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0.28</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4246567C"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0.72</w:t>
            </w:r>
          </w:p>
        </w:tc>
      </w:tr>
      <w:tr w:rsidR="00FB38FA" w:rsidRPr="00FB38FA" w14:paraId="5FC004C4" w14:textId="77777777" w:rsidTr="00A82399">
        <w:trPr>
          <w:trHeight w:val="375"/>
        </w:trPr>
        <w:tc>
          <w:tcPr>
            <w:tcW w:w="1697" w:type="dxa"/>
            <w:vMerge w:val="restart"/>
            <w:tcBorders>
              <w:top w:val="nil"/>
              <w:left w:val="single" w:sz="4" w:space="0" w:color="808080"/>
              <w:bottom w:val="single" w:sz="4" w:space="0" w:color="808080"/>
              <w:right w:val="single" w:sz="4" w:space="0" w:color="808080"/>
            </w:tcBorders>
            <w:shd w:val="clear" w:color="auto" w:fill="auto"/>
            <w:hideMark/>
          </w:tcPr>
          <w:p w14:paraId="40ADF1C0"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Vinculación</w:t>
            </w:r>
          </w:p>
        </w:tc>
        <w:tc>
          <w:tcPr>
            <w:tcW w:w="2178" w:type="dxa"/>
            <w:vMerge w:val="restart"/>
            <w:tcBorders>
              <w:top w:val="nil"/>
              <w:left w:val="single" w:sz="4" w:space="0" w:color="808080"/>
              <w:bottom w:val="single" w:sz="4" w:space="0" w:color="808080"/>
              <w:right w:val="single" w:sz="4" w:space="0" w:color="808080"/>
            </w:tcBorders>
            <w:shd w:val="clear" w:color="auto" w:fill="auto"/>
            <w:hideMark/>
          </w:tcPr>
          <w:p w14:paraId="6C201FC6"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Proyectos interinstitucionales</w:t>
            </w:r>
          </w:p>
        </w:tc>
        <w:tc>
          <w:tcPr>
            <w:tcW w:w="2499" w:type="dxa"/>
            <w:tcBorders>
              <w:top w:val="nil"/>
              <w:left w:val="nil"/>
              <w:bottom w:val="single" w:sz="4" w:space="0" w:color="808080"/>
              <w:right w:val="single" w:sz="4" w:space="0" w:color="808080"/>
            </w:tcBorders>
            <w:shd w:val="clear" w:color="auto" w:fill="auto"/>
            <w:hideMark/>
          </w:tcPr>
          <w:p w14:paraId="276FE4A5"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proyectos interinstitucionales</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0AA34F35"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22</w:t>
            </w:r>
          </w:p>
        </w:tc>
        <w:tc>
          <w:tcPr>
            <w:tcW w:w="1418" w:type="dxa"/>
            <w:tcBorders>
              <w:top w:val="nil"/>
              <w:left w:val="nil"/>
              <w:bottom w:val="single" w:sz="4" w:space="0" w:color="808080"/>
              <w:right w:val="single" w:sz="4" w:space="0" w:color="808080"/>
            </w:tcBorders>
            <w:shd w:val="clear" w:color="auto" w:fill="auto"/>
            <w:hideMark/>
          </w:tcPr>
          <w:p w14:paraId="36225FBF"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35</w:t>
            </w:r>
          </w:p>
        </w:tc>
      </w:tr>
      <w:tr w:rsidR="00FB38FA" w:rsidRPr="00FB38FA" w14:paraId="13E15B85"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6483BFFF"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2D698FF3"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45C42FD9"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proyectos de investigación</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126C781E"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59</w:t>
            </w:r>
          </w:p>
        </w:tc>
        <w:tc>
          <w:tcPr>
            <w:tcW w:w="1418" w:type="dxa"/>
            <w:tcBorders>
              <w:top w:val="nil"/>
              <w:left w:val="nil"/>
              <w:bottom w:val="single" w:sz="4" w:space="0" w:color="808080"/>
              <w:right w:val="single" w:sz="4" w:space="0" w:color="808080"/>
            </w:tcBorders>
            <w:shd w:val="clear" w:color="auto" w:fill="auto"/>
            <w:hideMark/>
          </w:tcPr>
          <w:p w14:paraId="6648DA08"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50</w:t>
            </w:r>
          </w:p>
        </w:tc>
      </w:tr>
      <w:tr w:rsidR="008328CF" w:rsidRPr="00FB38FA" w14:paraId="0C289437"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4780C566"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3221A9DB"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D9E2F3" w:themeFill="accent1" w:themeFillTint="33"/>
            <w:hideMark/>
          </w:tcPr>
          <w:p w14:paraId="507DFB31"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0C1A6F54"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0.37</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6D2DABE6"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0.70</w:t>
            </w:r>
          </w:p>
        </w:tc>
      </w:tr>
      <w:tr w:rsidR="00FB38FA" w:rsidRPr="00FB38FA" w14:paraId="1EFC88E3" w14:textId="77777777" w:rsidTr="00A82399">
        <w:trPr>
          <w:trHeight w:val="990"/>
        </w:trPr>
        <w:tc>
          <w:tcPr>
            <w:tcW w:w="1697" w:type="dxa"/>
            <w:vMerge w:val="restart"/>
            <w:tcBorders>
              <w:top w:val="nil"/>
              <w:left w:val="single" w:sz="4" w:space="0" w:color="808080"/>
              <w:bottom w:val="single" w:sz="4" w:space="0" w:color="808080"/>
              <w:right w:val="single" w:sz="4" w:space="0" w:color="808080"/>
            </w:tcBorders>
            <w:shd w:val="clear" w:color="auto" w:fill="auto"/>
            <w:hideMark/>
          </w:tcPr>
          <w:p w14:paraId="0BCAA6A0"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Transferencia del Conocimiento e Innovación</w:t>
            </w:r>
          </w:p>
        </w:tc>
        <w:tc>
          <w:tcPr>
            <w:tcW w:w="2178" w:type="dxa"/>
            <w:vMerge w:val="restart"/>
            <w:tcBorders>
              <w:top w:val="nil"/>
              <w:left w:val="single" w:sz="4" w:space="0" w:color="808080"/>
              <w:bottom w:val="single" w:sz="4" w:space="0" w:color="808080"/>
              <w:right w:val="single" w:sz="4" w:space="0" w:color="808080"/>
            </w:tcBorders>
            <w:shd w:val="clear" w:color="auto" w:fill="auto"/>
            <w:hideMark/>
          </w:tcPr>
          <w:p w14:paraId="7866F4C7"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 xml:space="preserve">Transferencia de conocimiento </w:t>
            </w:r>
          </w:p>
        </w:tc>
        <w:tc>
          <w:tcPr>
            <w:tcW w:w="2499" w:type="dxa"/>
            <w:tcBorders>
              <w:top w:val="nil"/>
              <w:left w:val="nil"/>
              <w:bottom w:val="single" w:sz="4" w:space="0" w:color="808080"/>
              <w:right w:val="single" w:sz="4" w:space="0" w:color="808080"/>
            </w:tcBorders>
            <w:shd w:val="clear" w:color="auto" w:fill="auto"/>
            <w:hideMark/>
          </w:tcPr>
          <w:p w14:paraId="20C98063"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contratos o convenios de transferencia de conocimiento, innovación tecnológica, social, económica o ambiental firmados vigentes alineados al PECITI en el año n</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6D4F26CF"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8</w:t>
            </w:r>
          </w:p>
        </w:tc>
        <w:tc>
          <w:tcPr>
            <w:tcW w:w="1418" w:type="dxa"/>
            <w:tcBorders>
              <w:top w:val="nil"/>
              <w:left w:val="nil"/>
              <w:bottom w:val="single" w:sz="4" w:space="0" w:color="808080"/>
              <w:right w:val="single" w:sz="4" w:space="0" w:color="808080"/>
            </w:tcBorders>
            <w:shd w:val="clear" w:color="auto" w:fill="auto"/>
            <w:hideMark/>
          </w:tcPr>
          <w:p w14:paraId="1090D308"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25</w:t>
            </w:r>
          </w:p>
        </w:tc>
      </w:tr>
      <w:tr w:rsidR="00FB38FA" w:rsidRPr="00FB38FA" w14:paraId="18696D8D" w14:textId="77777777" w:rsidTr="00A82399">
        <w:trPr>
          <w:trHeight w:val="1320"/>
        </w:trPr>
        <w:tc>
          <w:tcPr>
            <w:tcW w:w="1697" w:type="dxa"/>
            <w:vMerge/>
            <w:tcBorders>
              <w:top w:val="nil"/>
              <w:left w:val="single" w:sz="4" w:space="0" w:color="808080"/>
              <w:bottom w:val="single" w:sz="4" w:space="0" w:color="808080"/>
              <w:right w:val="single" w:sz="4" w:space="0" w:color="808080"/>
            </w:tcBorders>
            <w:vAlign w:val="center"/>
            <w:hideMark/>
          </w:tcPr>
          <w:p w14:paraId="591C4208"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2C1E1762"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1973C25A"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contratos o convenios de transferencia de conocimiento, innovación tecnológica, social, económica o ambiental firmados vigentes alineados al PECITI en el año n-1</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08F3AF92"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29</w:t>
            </w:r>
          </w:p>
        </w:tc>
        <w:tc>
          <w:tcPr>
            <w:tcW w:w="1418" w:type="dxa"/>
            <w:tcBorders>
              <w:top w:val="nil"/>
              <w:left w:val="nil"/>
              <w:bottom w:val="single" w:sz="4" w:space="0" w:color="808080"/>
              <w:right w:val="single" w:sz="4" w:space="0" w:color="808080"/>
            </w:tcBorders>
            <w:shd w:val="clear" w:color="auto" w:fill="auto"/>
            <w:hideMark/>
          </w:tcPr>
          <w:p w14:paraId="07A32259"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29</w:t>
            </w:r>
          </w:p>
        </w:tc>
      </w:tr>
      <w:tr w:rsidR="008328CF" w:rsidRPr="00FB38FA" w14:paraId="7E4A8B89"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1F9C7D10"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51768330"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D9E2F3" w:themeFill="accent1" w:themeFillTint="33"/>
            <w:hideMark/>
          </w:tcPr>
          <w:p w14:paraId="4A93A101"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1C9471AA"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0.28</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05D9597C"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0.86</w:t>
            </w:r>
          </w:p>
        </w:tc>
      </w:tr>
      <w:tr w:rsidR="00FB38FA" w:rsidRPr="00FB38FA" w14:paraId="6984D3FF"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0CD80E65"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val="restart"/>
            <w:tcBorders>
              <w:top w:val="nil"/>
              <w:left w:val="single" w:sz="4" w:space="0" w:color="808080"/>
              <w:bottom w:val="single" w:sz="4" w:space="0" w:color="808080"/>
              <w:right w:val="single" w:sz="4" w:space="0" w:color="808080"/>
            </w:tcBorders>
            <w:shd w:val="clear" w:color="auto" w:fill="auto"/>
            <w:hideMark/>
          </w:tcPr>
          <w:p w14:paraId="57ACE379"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Propiedad intelectual</w:t>
            </w:r>
          </w:p>
        </w:tc>
        <w:tc>
          <w:tcPr>
            <w:tcW w:w="2499" w:type="dxa"/>
            <w:tcBorders>
              <w:top w:val="nil"/>
              <w:left w:val="nil"/>
              <w:bottom w:val="single" w:sz="4" w:space="0" w:color="808080"/>
              <w:right w:val="single" w:sz="4" w:space="0" w:color="808080"/>
            </w:tcBorders>
            <w:shd w:val="clear" w:color="auto" w:fill="auto"/>
            <w:hideMark/>
          </w:tcPr>
          <w:p w14:paraId="1E9F8E4C"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derechos de autor en el año n</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6A22BE51"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4</w:t>
            </w:r>
          </w:p>
        </w:tc>
        <w:tc>
          <w:tcPr>
            <w:tcW w:w="1418" w:type="dxa"/>
            <w:tcBorders>
              <w:top w:val="nil"/>
              <w:left w:val="nil"/>
              <w:bottom w:val="single" w:sz="4" w:space="0" w:color="808080"/>
              <w:right w:val="single" w:sz="4" w:space="0" w:color="808080"/>
            </w:tcBorders>
            <w:shd w:val="clear" w:color="auto" w:fill="auto"/>
            <w:hideMark/>
          </w:tcPr>
          <w:p w14:paraId="51EC18EB"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18</w:t>
            </w:r>
          </w:p>
        </w:tc>
      </w:tr>
      <w:tr w:rsidR="00FB38FA" w:rsidRPr="00FB38FA" w14:paraId="2A00A4C3"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27C5DBAB"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6C88F686"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5D6676DA" w14:textId="4F79FD90"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xml:space="preserve">No. de derechos de autor en el </w:t>
            </w:r>
            <w:r w:rsidR="008F20C9" w:rsidRPr="00FB38FA">
              <w:rPr>
                <w:rFonts w:ascii="Montserrat" w:eastAsia="Times New Roman" w:hAnsi="Montserrat" w:cs="Calibri"/>
                <w:color w:val="000000"/>
                <w:sz w:val="20"/>
                <w:szCs w:val="20"/>
                <w:lang w:eastAsia="es-MX"/>
              </w:rPr>
              <w:t>año n</w:t>
            </w:r>
            <w:r w:rsidRPr="00FB38FA">
              <w:rPr>
                <w:rFonts w:ascii="Montserrat" w:eastAsia="Times New Roman" w:hAnsi="Montserrat" w:cs="Calibri"/>
                <w:color w:val="000000"/>
                <w:sz w:val="20"/>
                <w:szCs w:val="20"/>
                <w:lang w:eastAsia="es-MX"/>
              </w:rPr>
              <w:t>-1</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3EEA72EB"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22</w:t>
            </w:r>
          </w:p>
        </w:tc>
        <w:tc>
          <w:tcPr>
            <w:tcW w:w="1418" w:type="dxa"/>
            <w:tcBorders>
              <w:top w:val="nil"/>
              <w:left w:val="nil"/>
              <w:bottom w:val="single" w:sz="4" w:space="0" w:color="808080"/>
              <w:right w:val="single" w:sz="4" w:space="0" w:color="808080"/>
            </w:tcBorders>
            <w:shd w:val="clear" w:color="auto" w:fill="auto"/>
            <w:hideMark/>
          </w:tcPr>
          <w:p w14:paraId="43478686"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22</w:t>
            </w:r>
          </w:p>
        </w:tc>
      </w:tr>
      <w:tr w:rsidR="008328CF" w:rsidRPr="00FB38FA" w14:paraId="785E426C"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75BD9DC2"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065A2247"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nil"/>
              <w:right w:val="nil"/>
            </w:tcBorders>
            <w:shd w:val="clear" w:color="auto" w:fill="D9E2F3" w:themeFill="accent1" w:themeFillTint="33"/>
            <w:hideMark/>
          </w:tcPr>
          <w:p w14:paraId="4AE1A894"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single" w:sz="4" w:space="0" w:color="808080"/>
              <w:bottom w:val="single" w:sz="4" w:space="0" w:color="808080"/>
              <w:right w:val="single" w:sz="4" w:space="0" w:color="808080"/>
            </w:tcBorders>
            <w:shd w:val="clear" w:color="auto" w:fill="D9E2F3" w:themeFill="accent1" w:themeFillTint="33"/>
            <w:hideMark/>
          </w:tcPr>
          <w:p w14:paraId="4E0D04BD"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0.18</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647BB1BB"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0.82</w:t>
            </w:r>
          </w:p>
        </w:tc>
      </w:tr>
      <w:tr w:rsidR="00FB38FA" w:rsidRPr="00FB38FA" w14:paraId="75520B96" w14:textId="77777777" w:rsidTr="00A82399">
        <w:trPr>
          <w:trHeight w:val="660"/>
        </w:trPr>
        <w:tc>
          <w:tcPr>
            <w:tcW w:w="1697" w:type="dxa"/>
            <w:vMerge w:val="restart"/>
            <w:tcBorders>
              <w:top w:val="nil"/>
              <w:left w:val="single" w:sz="4" w:space="0" w:color="808080"/>
              <w:bottom w:val="single" w:sz="4" w:space="0" w:color="808080"/>
              <w:right w:val="single" w:sz="4" w:space="0" w:color="808080"/>
            </w:tcBorders>
            <w:shd w:val="clear" w:color="auto" w:fill="auto"/>
            <w:hideMark/>
          </w:tcPr>
          <w:p w14:paraId="5327343A"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Difusión y Divulgación</w:t>
            </w:r>
          </w:p>
        </w:tc>
        <w:tc>
          <w:tcPr>
            <w:tcW w:w="2178" w:type="dxa"/>
            <w:vMerge w:val="restart"/>
            <w:tcBorders>
              <w:top w:val="nil"/>
              <w:left w:val="single" w:sz="4" w:space="0" w:color="808080"/>
              <w:bottom w:val="single" w:sz="4" w:space="0" w:color="808080"/>
              <w:right w:val="single" w:sz="4" w:space="0" w:color="808080"/>
            </w:tcBorders>
            <w:shd w:val="clear" w:color="auto" w:fill="auto"/>
            <w:hideMark/>
          </w:tcPr>
          <w:p w14:paraId="220B6CD0"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Actividades de divulgación por personal de C y T</w:t>
            </w:r>
          </w:p>
        </w:tc>
        <w:tc>
          <w:tcPr>
            <w:tcW w:w="2499" w:type="dxa"/>
            <w:tcBorders>
              <w:top w:val="single" w:sz="4" w:space="0" w:color="808080"/>
              <w:left w:val="nil"/>
              <w:bottom w:val="single" w:sz="4" w:space="0" w:color="808080"/>
              <w:right w:val="single" w:sz="4" w:space="0" w:color="808080"/>
            </w:tcBorders>
            <w:shd w:val="clear" w:color="auto" w:fill="auto"/>
            <w:hideMark/>
          </w:tcPr>
          <w:p w14:paraId="2B5A35F0"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actividades de divulgación dirigidas al público en general</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3ED411E1"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270</w:t>
            </w:r>
          </w:p>
        </w:tc>
        <w:tc>
          <w:tcPr>
            <w:tcW w:w="1418" w:type="dxa"/>
            <w:tcBorders>
              <w:top w:val="nil"/>
              <w:left w:val="nil"/>
              <w:bottom w:val="single" w:sz="4" w:space="0" w:color="808080"/>
              <w:right w:val="single" w:sz="4" w:space="0" w:color="808080"/>
            </w:tcBorders>
            <w:shd w:val="clear" w:color="auto" w:fill="auto"/>
            <w:hideMark/>
          </w:tcPr>
          <w:p w14:paraId="68BEA879"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400</w:t>
            </w:r>
          </w:p>
        </w:tc>
      </w:tr>
      <w:tr w:rsidR="00FB38FA" w:rsidRPr="00FB38FA" w14:paraId="5A96E5F8" w14:textId="77777777" w:rsidTr="00A82399">
        <w:trPr>
          <w:trHeight w:val="375"/>
        </w:trPr>
        <w:tc>
          <w:tcPr>
            <w:tcW w:w="1697" w:type="dxa"/>
            <w:vMerge/>
            <w:tcBorders>
              <w:top w:val="nil"/>
              <w:left w:val="single" w:sz="4" w:space="0" w:color="808080"/>
              <w:bottom w:val="single" w:sz="4" w:space="0" w:color="808080"/>
              <w:right w:val="single" w:sz="4" w:space="0" w:color="808080"/>
            </w:tcBorders>
            <w:vAlign w:val="center"/>
            <w:hideMark/>
          </w:tcPr>
          <w:p w14:paraId="67936D54"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1DD628D4"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3BE9036A"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No. de Personal de ciencia y tecnología</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7534CE66"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288</w:t>
            </w:r>
          </w:p>
        </w:tc>
        <w:tc>
          <w:tcPr>
            <w:tcW w:w="1418" w:type="dxa"/>
            <w:tcBorders>
              <w:top w:val="nil"/>
              <w:left w:val="nil"/>
              <w:bottom w:val="single" w:sz="4" w:space="0" w:color="808080"/>
              <w:right w:val="single" w:sz="4" w:space="0" w:color="808080"/>
            </w:tcBorders>
            <w:shd w:val="clear" w:color="auto" w:fill="auto"/>
            <w:hideMark/>
          </w:tcPr>
          <w:p w14:paraId="05DF178B"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296</w:t>
            </w:r>
          </w:p>
        </w:tc>
      </w:tr>
      <w:tr w:rsidR="008328CF" w:rsidRPr="00FB38FA" w14:paraId="2F9488BE" w14:textId="77777777" w:rsidTr="00A82399">
        <w:trPr>
          <w:trHeight w:val="375"/>
        </w:trPr>
        <w:tc>
          <w:tcPr>
            <w:tcW w:w="1697" w:type="dxa"/>
            <w:vMerge/>
            <w:tcBorders>
              <w:top w:val="nil"/>
              <w:left w:val="single" w:sz="4" w:space="0" w:color="808080"/>
              <w:bottom w:val="single" w:sz="4" w:space="0" w:color="auto"/>
              <w:right w:val="single" w:sz="4" w:space="0" w:color="808080"/>
            </w:tcBorders>
            <w:vAlign w:val="center"/>
            <w:hideMark/>
          </w:tcPr>
          <w:p w14:paraId="6A0136F4"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auto"/>
              <w:right w:val="single" w:sz="4" w:space="0" w:color="808080"/>
            </w:tcBorders>
            <w:vAlign w:val="center"/>
            <w:hideMark/>
          </w:tcPr>
          <w:p w14:paraId="4BA62301"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auto"/>
              <w:right w:val="single" w:sz="4" w:space="0" w:color="808080"/>
            </w:tcBorders>
            <w:shd w:val="clear" w:color="auto" w:fill="D9E2F3" w:themeFill="accent1" w:themeFillTint="33"/>
            <w:hideMark/>
          </w:tcPr>
          <w:p w14:paraId="3F99BA93"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auto"/>
              <w:right w:val="single" w:sz="4" w:space="0" w:color="808080"/>
            </w:tcBorders>
            <w:shd w:val="clear" w:color="auto" w:fill="D9E2F3" w:themeFill="accent1" w:themeFillTint="33"/>
            <w:hideMark/>
          </w:tcPr>
          <w:p w14:paraId="079771BF"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0.94</w:t>
            </w:r>
          </w:p>
        </w:tc>
        <w:tc>
          <w:tcPr>
            <w:tcW w:w="1418" w:type="dxa"/>
            <w:tcBorders>
              <w:top w:val="nil"/>
              <w:left w:val="nil"/>
              <w:bottom w:val="single" w:sz="4" w:space="0" w:color="auto"/>
              <w:right w:val="single" w:sz="4" w:space="0" w:color="808080"/>
            </w:tcBorders>
            <w:shd w:val="clear" w:color="auto" w:fill="D9E2F3" w:themeFill="accent1" w:themeFillTint="33"/>
            <w:hideMark/>
          </w:tcPr>
          <w:p w14:paraId="57F365C8"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1.35</w:t>
            </w:r>
          </w:p>
        </w:tc>
      </w:tr>
      <w:tr w:rsidR="00FB38FA" w:rsidRPr="00FB38FA" w14:paraId="2C1EEAAA" w14:textId="77777777" w:rsidTr="00A82399">
        <w:trPr>
          <w:trHeight w:val="375"/>
        </w:trPr>
        <w:tc>
          <w:tcPr>
            <w:tcW w:w="169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4EA7C1" w14:textId="77777777" w:rsidR="00FB38FA" w:rsidRPr="00FB38FA" w:rsidRDefault="00FB38FA"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lastRenderedPageBreak/>
              <w:t>Gestión Presupuestal</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48682F0" w14:textId="4B4E524A" w:rsidR="00FB38FA" w:rsidRPr="00FB38FA" w:rsidRDefault="008F20C9"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Índice</w:t>
            </w:r>
            <w:r w:rsidR="00FB38FA" w:rsidRPr="00FB38FA">
              <w:rPr>
                <w:rFonts w:ascii="Montserrat" w:eastAsia="Times New Roman" w:hAnsi="Montserrat" w:cs="Calibri"/>
                <w:b/>
                <w:bCs/>
                <w:color w:val="000000"/>
                <w:sz w:val="20"/>
                <w:szCs w:val="20"/>
                <w:lang w:eastAsia="es-MX"/>
              </w:rPr>
              <w:t xml:space="preserve"> de sostenibilidad económica</w:t>
            </w:r>
          </w:p>
        </w:tc>
        <w:tc>
          <w:tcPr>
            <w:tcW w:w="2499" w:type="dxa"/>
            <w:tcBorders>
              <w:top w:val="single" w:sz="4" w:space="0" w:color="auto"/>
              <w:left w:val="single" w:sz="4" w:space="0" w:color="auto"/>
              <w:bottom w:val="single" w:sz="4" w:space="0" w:color="auto"/>
              <w:right w:val="single" w:sz="4" w:space="0" w:color="auto"/>
            </w:tcBorders>
            <w:shd w:val="clear" w:color="auto" w:fill="auto"/>
            <w:hideMark/>
          </w:tcPr>
          <w:p w14:paraId="0759F35A"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Monto de ingresos propios (miles)</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0D98616"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8,987.87</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3F9AAEB"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44,987.34</w:t>
            </w:r>
          </w:p>
        </w:tc>
      </w:tr>
      <w:tr w:rsidR="00FB38FA" w:rsidRPr="00FB38FA" w14:paraId="45DE78DD" w14:textId="77777777" w:rsidTr="00A82399">
        <w:trPr>
          <w:trHeight w:val="375"/>
        </w:trPr>
        <w:tc>
          <w:tcPr>
            <w:tcW w:w="1697" w:type="dxa"/>
            <w:vMerge/>
            <w:tcBorders>
              <w:top w:val="single" w:sz="4" w:space="0" w:color="auto"/>
              <w:left w:val="single" w:sz="4" w:space="0" w:color="808080"/>
              <w:bottom w:val="single" w:sz="4" w:space="0" w:color="000000"/>
              <w:right w:val="single" w:sz="4" w:space="0" w:color="808080"/>
            </w:tcBorders>
            <w:vAlign w:val="center"/>
            <w:hideMark/>
          </w:tcPr>
          <w:p w14:paraId="391D47D0"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single" w:sz="4" w:space="0" w:color="auto"/>
              <w:left w:val="single" w:sz="4" w:space="0" w:color="808080"/>
              <w:bottom w:val="single" w:sz="4" w:space="0" w:color="808080"/>
              <w:right w:val="single" w:sz="4" w:space="0" w:color="808080"/>
            </w:tcBorders>
            <w:vAlign w:val="center"/>
            <w:hideMark/>
          </w:tcPr>
          <w:p w14:paraId="3358B80D"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single" w:sz="4" w:space="0" w:color="auto"/>
              <w:left w:val="nil"/>
              <w:bottom w:val="single" w:sz="4" w:space="0" w:color="808080"/>
              <w:right w:val="single" w:sz="4" w:space="0" w:color="808080"/>
            </w:tcBorders>
            <w:shd w:val="clear" w:color="auto" w:fill="auto"/>
            <w:hideMark/>
          </w:tcPr>
          <w:p w14:paraId="6D999B1E"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Monto de presupuesto total del Centro (miles)</w:t>
            </w:r>
          </w:p>
        </w:tc>
        <w:tc>
          <w:tcPr>
            <w:tcW w:w="1559" w:type="dxa"/>
            <w:tcBorders>
              <w:top w:val="single" w:sz="4" w:space="0" w:color="auto"/>
              <w:left w:val="nil"/>
              <w:bottom w:val="single" w:sz="4" w:space="0" w:color="808080"/>
              <w:right w:val="single" w:sz="4" w:space="0" w:color="808080"/>
            </w:tcBorders>
            <w:shd w:val="clear" w:color="auto" w:fill="D9E2F3" w:themeFill="accent1" w:themeFillTint="33"/>
            <w:hideMark/>
          </w:tcPr>
          <w:p w14:paraId="38E0CA48"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267,875.85</w:t>
            </w:r>
          </w:p>
        </w:tc>
        <w:tc>
          <w:tcPr>
            <w:tcW w:w="1418" w:type="dxa"/>
            <w:tcBorders>
              <w:top w:val="single" w:sz="4" w:space="0" w:color="auto"/>
              <w:left w:val="nil"/>
              <w:bottom w:val="single" w:sz="4" w:space="0" w:color="808080"/>
              <w:right w:val="single" w:sz="4" w:space="0" w:color="808080"/>
            </w:tcBorders>
            <w:shd w:val="clear" w:color="auto" w:fill="auto"/>
            <w:hideMark/>
          </w:tcPr>
          <w:p w14:paraId="22BCF3B7"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400,925.78</w:t>
            </w:r>
          </w:p>
        </w:tc>
      </w:tr>
      <w:tr w:rsidR="008328CF" w:rsidRPr="00FB38FA" w14:paraId="124B8786" w14:textId="77777777" w:rsidTr="00A82399">
        <w:trPr>
          <w:trHeight w:val="375"/>
        </w:trPr>
        <w:tc>
          <w:tcPr>
            <w:tcW w:w="1697" w:type="dxa"/>
            <w:vMerge/>
            <w:tcBorders>
              <w:top w:val="nil"/>
              <w:left w:val="single" w:sz="4" w:space="0" w:color="808080"/>
              <w:bottom w:val="single" w:sz="4" w:space="0" w:color="000000"/>
              <w:right w:val="single" w:sz="4" w:space="0" w:color="808080"/>
            </w:tcBorders>
            <w:vAlign w:val="center"/>
            <w:hideMark/>
          </w:tcPr>
          <w:p w14:paraId="02CF97C5"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808080"/>
              <w:right w:val="single" w:sz="4" w:space="0" w:color="808080"/>
            </w:tcBorders>
            <w:vAlign w:val="center"/>
            <w:hideMark/>
          </w:tcPr>
          <w:p w14:paraId="70FE201A"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D9E2F3" w:themeFill="accent1" w:themeFillTint="33"/>
            <w:hideMark/>
          </w:tcPr>
          <w:p w14:paraId="602286D9"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279C17EA"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0.03</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2A4E20C2"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0.11</w:t>
            </w:r>
          </w:p>
        </w:tc>
      </w:tr>
      <w:tr w:rsidR="00FB38FA" w:rsidRPr="00FB38FA" w14:paraId="0766D27A" w14:textId="77777777" w:rsidTr="00A82399">
        <w:trPr>
          <w:trHeight w:val="360"/>
        </w:trPr>
        <w:tc>
          <w:tcPr>
            <w:tcW w:w="1697" w:type="dxa"/>
            <w:vMerge/>
            <w:tcBorders>
              <w:top w:val="nil"/>
              <w:left w:val="single" w:sz="4" w:space="0" w:color="808080"/>
              <w:bottom w:val="single" w:sz="4" w:space="0" w:color="000000"/>
              <w:right w:val="single" w:sz="4" w:space="0" w:color="808080"/>
            </w:tcBorders>
            <w:vAlign w:val="center"/>
            <w:hideMark/>
          </w:tcPr>
          <w:p w14:paraId="769AD95F"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val="restart"/>
            <w:tcBorders>
              <w:top w:val="nil"/>
              <w:left w:val="single" w:sz="4" w:space="0" w:color="808080"/>
              <w:bottom w:val="single" w:sz="4" w:space="0" w:color="000000"/>
              <w:right w:val="single" w:sz="4" w:space="0" w:color="808080"/>
            </w:tcBorders>
            <w:shd w:val="clear" w:color="auto" w:fill="auto"/>
            <w:hideMark/>
          </w:tcPr>
          <w:p w14:paraId="2D920C78" w14:textId="226ED247" w:rsidR="00FB38FA" w:rsidRPr="00FB38FA" w:rsidRDefault="008F20C9" w:rsidP="00FB38FA">
            <w:pPr>
              <w:spacing w:after="0" w:line="240" w:lineRule="auto"/>
              <w:jc w:val="center"/>
              <w:rPr>
                <w:rFonts w:ascii="Montserrat" w:eastAsia="Times New Roman" w:hAnsi="Montserrat" w:cs="Calibri"/>
                <w:b/>
                <w:bCs/>
                <w:color w:val="000000"/>
                <w:sz w:val="20"/>
                <w:szCs w:val="20"/>
                <w:lang w:eastAsia="es-MX"/>
              </w:rPr>
            </w:pPr>
            <w:r w:rsidRPr="00FB38FA">
              <w:rPr>
                <w:rFonts w:ascii="Montserrat" w:eastAsia="Times New Roman" w:hAnsi="Montserrat" w:cs="Calibri"/>
                <w:b/>
                <w:bCs/>
                <w:color w:val="000000"/>
                <w:sz w:val="20"/>
                <w:szCs w:val="20"/>
                <w:lang w:eastAsia="es-MX"/>
              </w:rPr>
              <w:t>Índice</w:t>
            </w:r>
            <w:r w:rsidR="00FB38FA" w:rsidRPr="00FB38FA">
              <w:rPr>
                <w:rFonts w:ascii="Montserrat" w:eastAsia="Times New Roman" w:hAnsi="Montserrat" w:cs="Calibri"/>
                <w:b/>
                <w:bCs/>
                <w:color w:val="000000"/>
                <w:sz w:val="20"/>
                <w:szCs w:val="20"/>
                <w:lang w:eastAsia="es-MX"/>
              </w:rPr>
              <w:t xml:space="preserve"> de sostenibilidad económica para la investigación</w:t>
            </w:r>
          </w:p>
        </w:tc>
        <w:tc>
          <w:tcPr>
            <w:tcW w:w="2499" w:type="dxa"/>
            <w:tcBorders>
              <w:top w:val="nil"/>
              <w:left w:val="nil"/>
              <w:bottom w:val="single" w:sz="4" w:space="0" w:color="808080"/>
              <w:right w:val="single" w:sz="4" w:space="0" w:color="808080"/>
            </w:tcBorders>
            <w:shd w:val="clear" w:color="auto" w:fill="auto"/>
            <w:hideMark/>
          </w:tcPr>
          <w:p w14:paraId="56F53447"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Monto total obtenido por proyectos de investigación financiados con recursos externos (miles)</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17E37C16"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6,494.05</w:t>
            </w:r>
          </w:p>
        </w:tc>
        <w:tc>
          <w:tcPr>
            <w:tcW w:w="1418" w:type="dxa"/>
            <w:tcBorders>
              <w:top w:val="nil"/>
              <w:left w:val="nil"/>
              <w:bottom w:val="single" w:sz="4" w:space="0" w:color="808080"/>
              <w:right w:val="single" w:sz="4" w:space="0" w:color="808080"/>
            </w:tcBorders>
            <w:shd w:val="clear" w:color="auto" w:fill="auto"/>
            <w:hideMark/>
          </w:tcPr>
          <w:p w14:paraId="0D1C07E0"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20,500.00</w:t>
            </w:r>
          </w:p>
        </w:tc>
      </w:tr>
      <w:tr w:rsidR="00FB38FA" w:rsidRPr="00FB38FA" w14:paraId="641D23D4" w14:textId="77777777" w:rsidTr="00A82399">
        <w:trPr>
          <w:trHeight w:val="360"/>
        </w:trPr>
        <w:tc>
          <w:tcPr>
            <w:tcW w:w="1697" w:type="dxa"/>
            <w:vMerge/>
            <w:tcBorders>
              <w:top w:val="nil"/>
              <w:left w:val="single" w:sz="4" w:space="0" w:color="808080"/>
              <w:bottom w:val="single" w:sz="4" w:space="0" w:color="000000"/>
              <w:right w:val="single" w:sz="4" w:space="0" w:color="808080"/>
            </w:tcBorders>
            <w:vAlign w:val="center"/>
            <w:hideMark/>
          </w:tcPr>
          <w:p w14:paraId="0EA54B58"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000000"/>
              <w:right w:val="single" w:sz="4" w:space="0" w:color="808080"/>
            </w:tcBorders>
            <w:vAlign w:val="center"/>
            <w:hideMark/>
          </w:tcPr>
          <w:p w14:paraId="76482B35"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808080"/>
              <w:right w:val="single" w:sz="4" w:space="0" w:color="808080"/>
            </w:tcBorders>
            <w:shd w:val="clear" w:color="auto" w:fill="auto"/>
            <w:hideMark/>
          </w:tcPr>
          <w:p w14:paraId="49AE91F4" w14:textId="77777777" w:rsidR="00FB38FA" w:rsidRPr="00FB38FA" w:rsidRDefault="00FB38FA" w:rsidP="00FB38FA">
            <w:pPr>
              <w:spacing w:after="0" w:line="240" w:lineRule="auto"/>
              <w:jc w:val="center"/>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Monto total de recursos fiscales destinados a la investigación (miles)</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492227AA"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228,209.45</w:t>
            </w:r>
          </w:p>
        </w:tc>
        <w:tc>
          <w:tcPr>
            <w:tcW w:w="1418" w:type="dxa"/>
            <w:tcBorders>
              <w:top w:val="nil"/>
              <w:left w:val="nil"/>
              <w:bottom w:val="single" w:sz="4" w:space="0" w:color="808080"/>
              <w:right w:val="single" w:sz="4" w:space="0" w:color="808080"/>
            </w:tcBorders>
            <w:shd w:val="clear" w:color="auto" w:fill="auto"/>
            <w:hideMark/>
          </w:tcPr>
          <w:p w14:paraId="3E587F6C" w14:textId="77777777" w:rsidR="00FB38FA" w:rsidRPr="00FB38FA" w:rsidRDefault="00FB38FA" w:rsidP="00FB38FA">
            <w:pPr>
              <w:spacing w:after="0" w:line="240" w:lineRule="auto"/>
              <w:jc w:val="center"/>
              <w:rPr>
                <w:rFonts w:ascii="Montserrat" w:eastAsia="Times New Roman" w:hAnsi="Montserrat" w:cs="Calibri"/>
                <w:sz w:val="20"/>
                <w:szCs w:val="20"/>
                <w:lang w:eastAsia="es-MX"/>
              </w:rPr>
            </w:pPr>
            <w:r w:rsidRPr="00FB38FA">
              <w:rPr>
                <w:rFonts w:ascii="Montserrat" w:eastAsia="Times New Roman" w:hAnsi="Montserrat" w:cs="Calibri"/>
                <w:sz w:val="20"/>
                <w:szCs w:val="20"/>
                <w:lang w:eastAsia="es-MX"/>
              </w:rPr>
              <w:t>356,708.48</w:t>
            </w:r>
          </w:p>
        </w:tc>
      </w:tr>
      <w:tr w:rsidR="008328CF" w:rsidRPr="00FB38FA" w14:paraId="4D70351C" w14:textId="77777777" w:rsidTr="00A82399">
        <w:trPr>
          <w:trHeight w:val="360"/>
        </w:trPr>
        <w:tc>
          <w:tcPr>
            <w:tcW w:w="1697" w:type="dxa"/>
            <w:vMerge/>
            <w:tcBorders>
              <w:top w:val="nil"/>
              <w:left w:val="single" w:sz="4" w:space="0" w:color="808080"/>
              <w:bottom w:val="single" w:sz="4" w:space="0" w:color="000000"/>
              <w:right w:val="single" w:sz="4" w:space="0" w:color="808080"/>
            </w:tcBorders>
            <w:vAlign w:val="center"/>
            <w:hideMark/>
          </w:tcPr>
          <w:p w14:paraId="4CF474CD"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178" w:type="dxa"/>
            <w:vMerge/>
            <w:tcBorders>
              <w:top w:val="nil"/>
              <w:left w:val="single" w:sz="4" w:space="0" w:color="808080"/>
              <w:bottom w:val="single" w:sz="4" w:space="0" w:color="000000"/>
              <w:right w:val="single" w:sz="4" w:space="0" w:color="808080"/>
            </w:tcBorders>
            <w:vAlign w:val="center"/>
            <w:hideMark/>
          </w:tcPr>
          <w:p w14:paraId="5931AED1" w14:textId="77777777" w:rsidR="00FB38FA" w:rsidRPr="00FB38FA" w:rsidRDefault="00FB38FA" w:rsidP="00FB38FA">
            <w:pPr>
              <w:spacing w:after="0" w:line="240" w:lineRule="auto"/>
              <w:rPr>
                <w:rFonts w:ascii="Montserrat" w:eastAsia="Times New Roman" w:hAnsi="Montserrat" w:cs="Calibri"/>
                <w:b/>
                <w:bCs/>
                <w:color w:val="000000"/>
                <w:sz w:val="20"/>
                <w:szCs w:val="20"/>
                <w:lang w:eastAsia="es-MX"/>
              </w:rPr>
            </w:pPr>
          </w:p>
        </w:tc>
        <w:tc>
          <w:tcPr>
            <w:tcW w:w="2499" w:type="dxa"/>
            <w:tcBorders>
              <w:top w:val="nil"/>
              <w:left w:val="nil"/>
              <w:bottom w:val="single" w:sz="4" w:space="0" w:color="auto"/>
              <w:right w:val="single" w:sz="4" w:space="0" w:color="808080"/>
            </w:tcBorders>
            <w:shd w:val="clear" w:color="auto" w:fill="D9E2F3" w:themeFill="accent1" w:themeFillTint="33"/>
            <w:hideMark/>
          </w:tcPr>
          <w:p w14:paraId="620C79AA" w14:textId="77777777" w:rsidR="00FB38FA" w:rsidRPr="00FB38FA" w:rsidRDefault="00FB38FA" w:rsidP="00FB38FA">
            <w:pPr>
              <w:spacing w:after="0" w:line="240" w:lineRule="auto"/>
              <w:rPr>
                <w:rFonts w:ascii="Montserrat" w:eastAsia="Times New Roman" w:hAnsi="Montserrat" w:cs="Calibri"/>
                <w:color w:val="000000"/>
                <w:sz w:val="20"/>
                <w:szCs w:val="20"/>
                <w:lang w:eastAsia="es-MX"/>
              </w:rPr>
            </w:pPr>
            <w:r w:rsidRPr="00FB38FA">
              <w:rPr>
                <w:rFonts w:ascii="Montserrat" w:eastAsia="Times New Roman" w:hAnsi="Montserrat" w:cs="Calibri"/>
                <w:color w:val="000000"/>
                <w:sz w:val="20"/>
                <w:szCs w:val="20"/>
                <w:lang w:eastAsia="es-MX"/>
              </w:rPr>
              <w:t> </w:t>
            </w:r>
          </w:p>
        </w:tc>
        <w:tc>
          <w:tcPr>
            <w:tcW w:w="1559" w:type="dxa"/>
            <w:tcBorders>
              <w:top w:val="nil"/>
              <w:left w:val="nil"/>
              <w:bottom w:val="single" w:sz="4" w:space="0" w:color="808080"/>
              <w:right w:val="single" w:sz="4" w:space="0" w:color="808080"/>
            </w:tcBorders>
            <w:shd w:val="clear" w:color="auto" w:fill="D9E2F3" w:themeFill="accent1" w:themeFillTint="33"/>
            <w:hideMark/>
          </w:tcPr>
          <w:p w14:paraId="13A4649F"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0.03</w:t>
            </w:r>
          </w:p>
        </w:tc>
        <w:tc>
          <w:tcPr>
            <w:tcW w:w="1418" w:type="dxa"/>
            <w:tcBorders>
              <w:top w:val="nil"/>
              <w:left w:val="nil"/>
              <w:bottom w:val="single" w:sz="4" w:space="0" w:color="808080"/>
              <w:right w:val="single" w:sz="4" w:space="0" w:color="808080"/>
            </w:tcBorders>
            <w:shd w:val="clear" w:color="auto" w:fill="D9E2F3" w:themeFill="accent1" w:themeFillTint="33"/>
            <w:hideMark/>
          </w:tcPr>
          <w:p w14:paraId="24B4F6E3" w14:textId="77777777" w:rsidR="00FB38FA" w:rsidRPr="00FB38FA" w:rsidRDefault="00FB38FA" w:rsidP="00FB38FA">
            <w:pPr>
              <w:spacing w:after="0" w:line="240" w:lineRule="auto"/>
              <w:jc w:val="center"/>
              <w:rPr>
                <w:rFonts w:ascii="Montserrat" w:eastAsia="Times New Roman" w:hAnsi="Montserrat" w:cs="Calibri"/>
                <w:b/>
                <w:bCs/>
                <w:sz w:val="20"/>
                <w:szCs w:val="20"/>
                <w:lang w:eastAsia="es-MX"/>
              </w:rPr>
            </w:pPr>
            <w:r w:rsidRPr="00FB38FA">
              <w:rPr>
                <w:rFonts w:ascii="Montserrat" w:eastAsia="Times New Roman" w:hAnsi="Montserrat" w:cs="Calibri"/>
                <w:b/>
                <w:bCs/>
                <w:sz w:val="20"/>
                <w:szCs w:val="20"/>
                <w:lang w:eastAsia="es-MX"/>
              </w:rPr>
              <w:t>0.06</w:t>
            </w:r>
          </w:p>
        </w:tc>
      </w:tr>
    </w:tbl>
    <w:p w14:paraId="1760AEB6" w14:textId="2DFF2A22" w:rsidR="007F75F3" w:rsidRDefault="007F75F3" w:rsidP="007F75F3">
      <w:pPr>
        <w:spacing w:after="0"/>
        <w:ind w:right="-70"/>
        <w:rPr>
          <w:rFonts w:ascii="Montserrat" w:eastAsia="Calibri" w:hAnsi="Montserrat" w:cs="Times New Roman"/>
          <w:b/>
          <w:bCs/>
        </w:rPr>
      </w:pPr>
    </w:p>
    <w:p w14:paraId="7AB4F82E" w14:textId="77777777" w:rsidR="0083137B" w:rsidRPr="0083137B" w:rsidRDefault="0083137B" w:rsidP="0083137B">
      <w:pPr>
        <w:spacing w:after="0" w:line="240" w:lineRule="auto"/>
        <w:rPr>
          <w:rFonts w:ascii="Montserrat" w:hAnsi="Montserrat"/>
          <w:b/>
        </w:rPr>
      </w:pPr>
      <w:r w:rsidRPr="0083137B">
        <w:rPr>
          <w:rFonts w:ascii="Montserrat" w:hAnsi="Montserrat"/>
          <w:b/>
        </w:rPr>
        <w:t>Explicación de las variaciones relevantes</w:t>
      </w:r>
    </w:p>
    <w:p w14:paraId="5FA457DC" w14:textId="77777777" w:rsidR="0083137B" w:rsidRDefault="0083137B" w:rsidP="0083137B">
      <w:pPr>
        <w:spacing w:after="0" w:line="240" w:lineRule="auto"/>
        <w:rPr>
          <w:rFonts w:ascii="Montserrat" w:hAnsi="Montserrat"/>
          <w:b/>
        </w:rPr>
      </w:pPr>
    </w:p>
    <w:p w14:paraId="3ECB845D" w14:textId="77777777" w:rsidR="0083137B" w:rsidRDefault="0083137B" w:rsidP="0083137B">
      <w:pPr>
        <w:spacing w:after="0" w:line="240" w:lineRule="auto"/>
        <w:jc w:val="both"/>
        <w:rPr>
          <w:rFonts w:ascii="Montserrat" w:hAnsi="Montserrat"/>
          <w:b/>
        </w:rPr>
      </w:pPr>
      <w:r w:rsidRPr="00184280">
        <w:rPr>
          <w:rFonts w:ascii="Montserrat" w:hAnsi="Montserrat"/>
          <w:b/>
        </w:rPr>
        <w:t>Indicador</w:t>
      </w:r>
      <w:r>
        <w:rPr>
          <w:rFonts w:ascii="Montserrat" w:hAnsi="Montserrat"/>
        </w:rPr>
        <w:t xml:space="preserve">: </w:t>
      </w:r>
      <w:r w:rsidRPr="00F86324">
        <w:rPr>
          <w:rFonts w:ascii="Montserrat" w:hAnsi="Montserrat"/>
          <w:b/>
          <w:bCs/>
        </w:rPr>
        <w:t>Generación de recursos humanos especializados</w:t>
      </w:r>
    </w:p>
    <w:p w14:paraId="20A1BDC7" w14:textId="77777777" w:rsidR="0083137B" w:rsidRDefault="0083137B" w:rsidP="0083137B">
      <w:pPr>
        <w:spacing w:after="0" w:line="240" w:lineRule="auto"/>
        <w:jc w:val="both"/>
        <w:rPr>
          <w:rFonts w:ascii="Montserrat" w:hAnsi="Montserrat"/>
          <w:b/>
        </w:rPr>
      </w:pPr>
      <w:r>
        <w:rPr>
          <w:rFonts w:ascii="Montserrat" w:hAnsi="Montserrat"/>
          <w:b/>
        </w:rPr>
        <w:t>Meta: 0.72</w:t>
      </w:r>
    </w:p>
    <w:p w14:paraId="77FA3489" w14:textId="77777777" w:rsidR="0083137B" w:rsidRDefault="0083137B" w:rsidP="0083137B">
      <w:pPr>
        <w:spacing w:after="0" w:line="240" w:lineRule="auto"/>
        <w:jc w:val="both"/>
        <w:rPr>
          <w:rFonts w:ascii="Montserrat" w:hAnsi="Montserrat"/>
          <w:b/>
        </w:rPr>
      </w:pPr>
      <w:r>
        <w:rPr>
          <w:rFonts w:ascii="Montserrat" w:hAnsi="Montserrat"/>
          <w:b/>
        </w:rPr>
        <w:t>Valor alcanzado: 0.28</w:t>
      </w:r>
    </w:p>
    <w:p w14:paraId="54BE6347" w14:textId="3AE51A61" w:rsidR="0083137B" w:rsidRDefault="0083137B" w:rsidP="003D7FD3">
      <w:pPr>
        <w:spacing w:after="0" w:line="276" w:lineRule="auto"/>
        <w:jc w:val="both"/>
        <w:rPr>
          <w:rFonts w:ascii="Montserrat" w:hAnsi="Montserrat"/>
        </w:rPr>
      </w:pPr>
      <w:r w:rsidRPr="00F542A8">
        <w:rPr>
          <w:rFonts w:ascii="Montserrat" w:hAnsi="Montserrat"/>
        </w:rPr>
        <w:t xml:space="preserve">La contingencia actual ha tenido tres efectos: </w:t>
      </w:r>
      <w:r>
        <w:rPr>
          <w:rFonts w:ascii="Montserrat" w:hAnsi="Montserrat"/>
        </w:rPr>
        <w:t>1) L</w:t>
      </w:r>
      <w:r w:rsidRPr="00F542A8">
        <w:rPr>
          <w:rFonts w:ascii="Montserrat" w:hAnsi="Montserrat"/>
        </w:rPr>
        <w:t xml:space="preserve">os trabajos de campo y de laboratorio de la comunidad estudiantil se han restringido. </w:t>
      </w:r>
      <w:r>
        <w:rPr>
          <w:rFonts w:ascii="Montserrat" w:hAnsi="Montserrat"/>
        </w:rPr>
        <w:t xml:space="preserve">2) </w:t>
      </w:r>
      <w:r w:rsidRPr="00F542A8">
        <w:rPr>
          <w:rFonts w:ascii="Montserrat" w:hAnsi="Montserrat"/>
        </w:rPr>
        <w:t>Las actividades de trabajo tutor</w:t>
      </w:r>
      <w:r w:rsidR="00426F9A">
        <w:rPr>
          <w:rFonts w:ascii="Montserrat" w:hAnsi="Montserrat"/>
        </w:rPr>
        <w:t>i</w:t>
      </w:r>
      <w:r w:rsidRPr="00F542A8">
        <w:rPr>
          <w:rFonts w:ascii="Montserrat" w:hAnsi="Montserrat"/>
        </w:rPr>
        <w:t xml:space="preserve">al se han limitado al ser no presenciales y estar afectadas por problemas técnicos de comunicación y de salud. </w:t>
      </w:r>
      <w:r>
        <w:rPr>
          <w:rFonts w:ascii="Montserrat" w:hAnsi="Montserrat"/>
        </w:rPr>
        <w:t>3) L</w:t>
      </w:r>
      <w:r w:rsidRPr="00F542A8">
        <w:rPr>
          <w:rFonts w:ascii="Montserrat" w:hAnsi="Montserrat"/>
        </w:rPr>
        <w:t xml:space="preserve">as condiciones administrativas hicieron difícil en los meses de marzo a mayo las graduaciones. </w:t>
      </w:r>
    </w:p>
    <w:p w14:paraId="26F39035" w14:textId="77777777" w:rsidR="0083137B" w:rsidRPr="00F542A8" w:rsidRDefault="0083137B" w:rsidP="003D7FD3">
      <w:pPr>
        <w:spacing w:after="0" w:line="276" w:lineRule="auto"/>
        <w:jc w:val="both"/>
        <w:rPr>
          <w:rFonts w:ascii="Montserrat" w:hAnsi="Montserrat"/>
        </w:rPr>
      </w:pPr>
      <w:r w:rsidRPr="00F542A8">
        <w:rPr>
          <w:rFonts w:ascii="Montserrat" w:hAnsi="Montserrat"/>
        </w:rPr>
        <w:t>Se han podido reorganizar varios procesos y se espera que en el cuarto trimestre las graduaciones aumenten.</w:t>
      </w:r>
    </w:p>
    <w:p w14:paraId="5C2CF1D5" w14:textId="77777777" w:rsidR="0083137B" w:rsidRPr="00F542A8" w:rsidRDefault="0083137B" w:rsidP="0083137B">
      <w:pPr>
        <w:spacing w:after="0" w:line="240" w:lineRule="auto"/>
        <w:jc w:val="both"/>
        <w:rPr>
          <w:rFonts w:ascii="Montserrat" w:hAnsi="Montserrat"/>
          <w:b/>
          <w:bCs/>
        </w:rPr>
      </w:pPr>
    </w:p>
    <w:p w14:paraId="43465D62" w14:textId="77777777" w:rsidR="0083137B" w:rsidRPr="00F542A8" w:rsidRDefault="0083137B" w:rsidP="0083137B">
      <w:pPr>
        <w:spacing w:after="0" w:line="240" w:lineRule="auto"/>
        <w:jc w:val="both"/>
        <w:rPr>
          <w:rFonts w:ascii="Montserrat" w:hAnsi="Montserrat"/>
          <w:b/>
          <w:bCs/>
        </w:rPr>
      </w:pPr>
      <w:r w:rsidRPr="00F542A8">
        <w:rPr>
          <w:rFonts w:ascii="Montserrat" w:hAnsi="Montserrat"/>
          <w:b/>
          <w:bCs/>
        </w:rPr>
        <w:t>Indicador: Proyectos interinstitucionales</w:t>
      </w:r>
    </w:p>
    <w:p w14:paraId="7D794CBE" w14:textId="77777777" w:rsidR="0083137B" w:rsidRPr="00F542A8" w:rsidRDefault="0083137B" w:rsidP="0083137B">
      <w:pPr>
        <w:spacing w:after="0" w:line="240" w:lineRule="auto"/>
        <w:jc w:val="both"/>
        <w:rPr>
          <w:rFonts w:ascii="Montserrat" w:hAnsi="Montserrat"/>
          <w:b/>
        </w:rPr>
      </w:pPr>
      <w:r w:rsidRPr="00F542A8">
        <w:rPr>
          <w:rFonts w:ascii="Montserrat" w:hAnsi="Montserrat"/>
          <w:b/>
        </w:rPr>
        <w:t>Meta: 0.70</w:t>
      </w:r>
    </w:p>
    <w:p w14:paraId="3182148D" w14:textId="77777777" w:rsidR="0083137B" w:rsidRPr="00F542A8" w:rsidRDefault="0083137B" w:rsidP="0083137B">
      <w:pPr>
        <w:spacing w:after="0" w:line="240" w:lineRule="auto"/>
        <w:jc w:val="both"/>
        <w:rPr>
          <w:rFonts w:ascii="Montserrat" w:hAnsi="Montserrat"/>
          <w:b/>
        </w:rPr>
      </w:pPr>
      <w:r w:rsidRPr="00F542A8">
        <w:rPr>
          <w:rFonts w:ascii="Montserrat" w:hAnsi="Montserrat"/>
          <w:b/>
        </w:rPr>
        <w:t>Valor alcanzado: 0.37</w:t>
      </w:r>
    </w:p>
    <w:p w14:paraId="56751023" w14:textId="77777777" w:rsidR="0083137B" w:rsidRPr="00F542A8" w:rsidRDefault="0083137B" w:rsidP="003D7FD3">
      <w:pPr>
        <w:spacing w:after="0" w:line="276" w:lineRule="auto"/>
        <w:jc w:val="both"/>
        <w:rPr>
          <w:rFonts w:ascii="Montserrat" w:hAnsi="Montserrat"/>
          <w:bCs/>
        </w:rPr>
      </w:pPr>
      <w:r w:rsidRPr="00F542A8">
        <w:rPr>
          <w:rFonts w:ascii="Montserrat" w:hAnsi="Montserrat"/>
          <w:bCs/>
        </w:rPr>
        <w:t xml:space="preserve">El incremento en el número de proyectos interinstitucionales se ha visto afectado por la disminución del contacto directo entre instituciones y la incertidumbre que impera respecto al regreso a las actividades normales. </w:t>
      </w:r>
    </w:p>
    <w:p w14:paraId="61430722" w14:textId="77777777" w:rsidR="0083137B" w:rsidRDefault="0083137B" w:rsidP="0083137B">
      <w:pPr>
        <w:spacing w:after="0" w:line="240" w:lineRule="auto"/>
        <w:jc w:val="both"/>
        <w:rPr>
          <w:rFonts w:ascii="Montserrat" w:hAnsi="Montserrat"/>
          <w:b/>
        </w:rPr>
      </w:pPr>
    </w:p>
    <w:p w14:paraId="63758847" w14:textId="77777777" w:rsidR="0083137B" w:rsidRPr="00C8261A" w:rsidRDefault="0083137B" w:rsidP="0083137B">
      <w:pPr>
        <w:spacing w:after="0" w:line="240" w:lineRule="auto"/>
        <w:jc w:val="both"/>
        <w:rPr>
          <w:rFonts w:ascii="Montserrat" w:hAnsi="Montserrat"/>
          <w:b/>
        </w:rPr>
      </w:pPr>
      <w:r w:rsidRPr="00C8261A">
        <w:rPr>
          <w:rFonts w:ascii="Montserrat" w:hAnsi="Montserrat"/>
          <w:b/>
        </w:rPr>
        <w:t>Indicador: Transferencia de conocimiento</w:t>
      </w:r>
    </w:p>
    <w:p w14:paraId="2EF9FF55" w14:textId="77777777" w:rsidR="0083137B" w:rsidRPr="00C8261A" w:rsidRDefault="0083137B" w:rsidP="0083137B">
      <w:pPr>
        <w:spacing w:after="0" w:line="240" w:lineRule="auto"/>
        <w:jc w:val="both"/>
        <w:rPr>
          <w:rFonts w:ascii="Montserrat" w:hAnsi="Montserrat"/>
          <w:b/>
        </w:rPr>
      </w:pPr>
      <w:r w:rsidRPr="00C8261A">
        <w:rPr>
          <w:rFonts w:ascii="Montserrat" w:hAnsi="Montserrat"/>
          <w:b/>
        </w:rPr>
        <w:t>Meta: 0.86</w:t>
      </w:r>
    </w:p>
    <w:p w14:paraId="47C53D2A" w14:textId="77777777" w:rsidR="0083137B" w:rsidRPr="00C8261A" w:rsidRDefault="0083137B" w:rsidP="0083137B">
      <w:pPr>
        <w:spacing w:after="0" w:line="240" w:lineRule="auto"/>
        <w:jc w:val="both"/>
        <w:rPr>
          <w:rFonts w:ascii="Montserrat" w:hAnsi="Montserrat"/>
          <w:b/>
        </w:rPr>
      </w:pPr>
      <w:r w:rsidRPr="00C8261A">
        <w:rPr>
          <w:rFonts w:ascii="Montserrat" w:hAnsi="Montserrat"/>
          <w:b/>
        </w:rPr>
        <w:t>Valor alcanzado: 0.2</w:t>
      </w:r>
      <w:r>
        <w:rPr>
          <w:rFonts w:ascii="Montserrat" w:hAnsi="Montserrat"/>
          <w:b/>
        </w:rPr>
        <w:t>8</w:t>
      </w:r>
    </w:p>
    <w:p w14:paraId="74C85390" w14:textId="64109325" w:rsidR="0083137B" w:rsidRPr="00F542A8" w:rsidRDefault="0083137B" w:rsidP="003D7FD3">
      <w:pPr>
        <w:spacing w:after="0" w:line="276" w:lineRule="auto"/>
        <w:jc w:val="both"/>
        <w:rPr>
          <w:rFonts w:ascii="Montserrat" w:hAnsi="Montserrat"/>
        </w:rPr>
      </w:pPr>
      <w:r w:rsidRPr="00F542A8">
        <w:rPr>
          <w:rFonts w:ascii="Montserrat" w:hAnsi="Montserrat"/>
        </w:rPr>
        <w:t xml:space="preserve">Debido a las medidas sanitarias por COVID-19, muchas de las instituciones que asumieron medidas se mantienen sin dar respuesta al proceso de revisión de los convenios para concluir con </w:t>
      </w:r>
      <w:r w:rsidR="00426F9A">
        <w:rPr>
          <w:rFonts w:ascii="Montserrat" w:hAnsi="Montserrat"/>
        </w:rPr>
        <w:t>su</w:t>
      </w:r>
      <w:r w:rsidRPr="00F542A8">
        <w:rPr>
          <w:rFonts w:ascii="Montserrat" w:hAnsi="Montserrat"/>
        </w:rPr>
        <w:t xml:space="preserve"> formalización</w:t>
      </w:r>
      <w:r w:rsidR="00426F9A">
        <w:rPr>
          <w:rFonts w:ascii="Montserrat" w:hAnsi="Montserrat"/>
        </w:rPr>
        <w:t>.</w:t>
      </w:r>
      <w:r w:rsidRPr="00F542A8">
        <w:rPr>
          <w:rFonts w:ascii="Montserrat" w:hAnsi="Montserrat"/>
        </w:rPr>
        <w:t xml:space="preserve"> </w:t>
      </w:r>
      <w:r w:rsidR="00426F9A">
        <w:rPr>
          <w:rFonts w:ascii="Montserrat" w:hAnsi="Montserrat"/>
        </w:rPr>
        <w:t>P</w:t>
      </w:r>
      <w:r w:rsidRPr="00F542A8">
        <w:rPr>
          <w:rFonts w:ascii="Montserrat" w:hAnsi="Montserrat"/>
        </w:rPr>
        <w:t>or otro lado, el contacto directo entre los actores relacionados en los convenios también se ha visto afectado.</w:t>
      </w:r>
    </w:p>
    <w:p w14:paraId="443ABD50" w14:textId="77777777" w:rsidR="0083137B" w:rsidRPr="00F542A8" w:rsidRDefault="0083137B" w:rsidP="0083137B">
      <w:pPr>
        <w:spacing w:after="0" w:line="240" w:lineRule="auto"/>
        <w:jc w:val="both"/>
        <w:rPr>
          <w:rFonts w:ascii="Montserrat" w:hAnsi="Montserrat"/>
        </w:rPr>
      </w:pPr>
    </w:p>
    <w:p w14:paraId="167B08C4" w14:textId="77777777" w:rsidR="0083137B" w:rsidRPr="00F542A8" w:rsidRDefault="0083137B" w:rsidP="0083137B">
      <w:pPr>
        <w:spacing w:after="0" w:line="240" w:lineRule="auto"/>
        <w:jc w:val="both"/>
        <w:rPr>
          <w:rFonts w:ascii="Montserrat" w:hAnsi="Montserrat"/>
          <w:b/>
        </w:rPr>
      </w:pPr>
      <w:r w:rsidRPr="00F542A8">
        <w:rPr>
          <w:rFonts w:ascii="Montserrat" w:hAnsi="Montserrat"/>
          <w:b/>
        </w:rPr>
        <w:t>Indicador: Propiedad intelectual</w:t>
      </w:r>
    </w:p>
    <w:p w14:paraId="090BF3F0" w14:textId="77777777" w:rsidR="0083137B" w:rsidRPr="00F542A8" w:rsidRDefault="0083137B" w:rsidP="0083137B">
      <w:pPr>
        <w:spacing w:after="0" w:line="240" w:lineRule="auto"/>
        <w:jc w:val="both"/>
        <w:rPr>
          <w:rFonts w:ascii="Montserrat" w:hAnsi="Montserrat"/>
          <w:b/>
        </w:rPr>
      </w:pPr>
      <w:r w:rsidRPr="00F542A8">
        <w:rPr>
          <w:rFonts w:ascii="Montserrat" w:hAnsi="Montserrat"/>
          <w:b/>
        </w:rPr>
        <w:t>Meta: 0.82</w:t>
      </w:r>
    </w:p>
    <w:p w14:paraId="2A9A0286" w14:textId="77777777" w:rsidR="0083137B" w:rsidRPr="00F542A8" w:rsidRDefault="0083137B" w:rsidP="0083137B">
      <w:pPr>
        <w:spacing w:after="0" w:line="240" w:lineRule="auto"/>
        <w:jc w:val="both"/>
        <w:rPr>
          <w:rFonts w:ascii="Montserrat" w:hAnsi="Montserrat"/>
          <w:b/>
        </w:rPr>
      </w:pPr>
      <w:r w:rsidRPr="00F542A8">
        <w:rPr>
          <w:rFonts w:ascii="Montserrat" w:hAnsi="Montserrat"/>
          <w:b/>
        </w:rPr>
        <w:t>Valor alcanzado: 0.18</w:t>
      </w:r>
    </w:p>
    <w:p w14:paraId="715F9B54" w14:textId="77777777" w:rsidR="0083137B" w:rsidRPr="00F542A8" w:rsidRDefault="0083137B" w:rsidP="003D7FD3">
      <w:pPr>
        <w:spacing w:after="0" w:line="276" w:lineRule="auto"/>
        <w:jc w:val="both"/>
        <w:rPr>
          <w:rFonts w:ascii="Montserrat" w:hAnsi="Montserrat"/>
        </w:rPr>
      </w:pPr>
      <w:r w:rsidRPr="00F542A8">
        <w:rPr>
          <w:rFonts w:ascii="Montserrat" w:hAnsi="Montserrat"/>
        </w:rPr>
        <w:t>Ante la contingencia sanitaria, el INDAUTOR estableció estrategias para dar atención vía electrónica a ciertos trámites para los cuales no es indispensable la presencia física del solicitante. Por ser un órgano desconcentrado de la Secretaría de Cultura, el personal de INDAUTOR debe acatar las disposiciones en materia sanitaria que se han ido generando y abrirá sus servicios al público hasta que las disposiciones gubernamentales así lo indiquen.</w:t>
      </w:r>
    </w:p>
    <w:p w14:paraId="0F783F60" w14:textId="77777777" w:rsidR="0083137B" w:rsidRDefault="0083137B" w:rsidP="0083137B">
      <w:pPr>
        <w:spacing w:after="0" w:line="240" w:lineRule="auto"/>
        <w:jc w:val="both"/>
        <w:rPr>
          <w:rFonts w:ascii="Montserrat" w:hAnsi="Montserrat"/>
          <w:b/>
        </w:rPr>
      </w:pPr>
    </w:p>
    <w:p w14:paraId="7D2C41B0" w14:textId="3C0463DF" w:rsidR="0083137B" w:rsidRPr="00C8261A" w:rsidRDefault="0083137B" w:rsidP="0083137B">
      <w:pPr>
        <w:spacing w:after="0" w:line="240" w:lineRule="auto"/>
        <w:jc w:val="both"/>
        <w:rPr>
          <w:rFonts w:ascii="Montserrat" w:hAnsi="Montserrat"/>
          <w:b/>
        </w:rPr>
      </w:pPr>
      <w:r w:rsidRPr="00C8261A">
        <w:rPr>
          <w:rFonts w:ascii="Montserrat" w:hAnsi="Montserrat"/>
          <w:b/>
        </w:rPr>
        <w:t xml:space="preserve">Indicador: </w:t>
      </w:r>
      <w:r w:rsidRPr="00554BE7">
        <w:rPr>
          <w:rFonts w:ascii="Montserrat" w:hAnsi="Montserrat"/>
          <w:b/>
        </w:rPr>
        <w:t>Índice de sostenibilidad económica</w:t>
      </w:r>
    </w:p>
    <w:p w14:paraId="25E10A54" w14:textId="77777777" w:rsidR="0083137B" w:rsidRPr="00C8261A" w:rsidRDefault="0083137B" w:rsidP="0083137B">
      <w:pPr>
        <w:spacing w:after="0" w:line="240" w:lineRule="auto"/>
        <w:jc w:val="both"/>
        <w:rPr>
          <w:rFonts w:ascii="Montserrat" w:hAnsi="Montserrat"/>
          <w:b/>
        </w:rPr>
      </w:pPr>
      <w:r w:rsidRPr="00C8261A">
        <w:rPr>
          <w:rFonts w:ascii="Montserrat" w:hAnsi="Montserrat"/>
          <w:b/>
        </w:rPr>
        <w:t>Meta: 0.</w:t>
      </w:r>
      <w:r>
        <w:rPr>
          <w:rFonts w:ascii="Montserrat" w:hAnsi="Montserrat"/>
          <w:b/>
        </w:rPr>
        <w:t>11</w:t>
      </w:r>
    </w:p>
    <w:p w14:paraId="45560910" w14:textId="77777777" w:rsidR="0083137B" w:rsidRDefault="0083137B" w:rsidP="0083137B">
      <w:pPr>
        <w:spacing w:after="0" w:line="240" w:lineRule="auto"/>
        <w:jc w:val="both"/>
        <w:rPr>
          <w:rFonts w:ascii="Montserrat" w:hAnsi="Montserrat"/>
          <w:b/>
        </w:rPr>
      </w:pPr>
      <w:r w:rsidRPr="00C8261A">
        <w:rPr>
          <w:rFonts w:ascii="Montserrat" w:hAnsi="Montserrat"/>
          <w:b/>
        </w:rPr>
        <w:t>Valor alcanzado: 0.</w:t>
      </w:r>
      <w:r>
        <w:rPr>
          <w:rFonts w:ascii="Montserrat" w:hAnsi="Montserrat"/>
          <w:b/>
        </w:rPr>
        <w:t>03</w:t>
      </w:r>
    </w:p>
    <w:p w14:paraId="10A68EC5" w14:textId="77777777" w:rsidR="0083137B" w:rsidRPr="00577976" w:rsidRDefault="0083137B" w:rsidP="003D7FD3">
      <w:pPr>
        <w:spacing w:after="0" w:line="276" w:lineRule="auto"/>
        <w:jc w:val="both"/>
        <w:rPr>
          <w:rFonts w:ascii="Montserrat" w:hAnsi="Montserrat"/>
          <w:bCs/>
        </w:rPr>
      </w:pPr>
      <w:r w:rsidRPr="00577976">
        <w:rPr>
          <w:rFonts w:ascii="Montserrat" w:hAnsi="Montserrat"/>
          <w:bCs/>
        </w:rPr>
        <w:t>Las razones que han complicado el cumplimiento de la meta se exponen en el indicador siguiente.</w:t>
      </w:r>
    </w:p>
    <w:p w14:paraId="60BFDAE1" w14:textId="77777777" w:rsidR="0083137B" w:rsidRDefault="0083137B" w:rsidP="0083137B">
      <w:pPr>
        <w:spacing w:after="0" w:line="240" w:lineRule="auto"/>
        <w:jc w:val="both"/>
        <w:rPr>
          <w:rFonts w:ascii="Montserrat" w:hAnsi="Montserrat"/>
          <w:b/>
        </w:rPr>
      </w:pPr>
    </w:p>
    <w:p w14:paraId="27F3963D" w14:textId="77777777" w:rsidR="0083137B" w:rsidRPr="00C8261A" w:rsidRDefault="0083137B" w:rsidP="0083137B">
      <w:pPr>
        <w:spacing w:after="0" w:line="240" w:lineRule="auto"/>
        <w:jc w:val="both"/>
        <w:rPr>
          <w:rFonts w:ascii="Montserrat" w:hAnsi="Montserrat"/>
          <w:b/>
        </w:rPr>
      </w:pPr>
      <w:r w:rsidRPr="00C8261A">
        <w:rPr>
          <w:rFonts w:ascii="Montserrat" w:hAnsi="Montserrat"/>
          <w:b/>
        </w:rPr>
        <w:t xml:space="preserve">Indicador: </w:t>
      </w:r>
      <w:r w:rsidRPr="00554BE7">
        <w:rPr>
          <w:rFonts w:ascii="Montserrat" w:hAnsi="Montserrat"/>
          <w:b/>
        </w:rPr>
        <w:t>Índice de sostenibilidad económica</w:t>
      </w:r>
      <w:r>
        <w:rPr>
          <w:rFonts w:ascii="Montserrat" w:hAnsi="Montserrat"/>
          <w:b/>
        </w:rPr>
        <w:t xml:space="preserve"> para la investigación</w:t>
      </w:r>
    </w:p>
    <w:p w14:paraId="46D75EDA" w14:textId="77777777" w:rsidR="0083137B" w:rsidRPr="00C8261A" w:rsidRDefault="0083137B" w:rsidP="0083137B">
      <w:pPr>
        <w:spacing w:after="0" w:line="240" w:lineRule="auto"/>
        <w:jc w:val="both"/>
        <w:rPr>
          <w:rFonts w:ascii="Montserrat" w:hAnsi="Montserrat"/>
          <w:b/>
        </w:rPr>
      </w:pPr>
      <w:r w:rsidRPr="00C8261A">
        <w:rPr>
          <w:rFonts w:ascii="Montserrat" w:hAnsi="Montserrat"/>
          <w:b/>
        </w:rPr>
        <w:t>Meta: 0.</w:t>
      </w:r>
      <w:r>
        <w:rPr>
          <w:rFonts w:ascii="Montserrat" w:hAnsi="Montserrat"/>
          <w:b/>
        </w:rPr>
        <w:t>06</w:t>
      </w:r>
    </w:p>
    <w:p w14:paraId="4F5EAFFB" w14:textId="77777777" w:rsidR="0083137B" w:rsidRDefault="0083137B" w:rsidP="0083137B">
      <w:pPr>
        <w:spacing w:after="0" w:line="240" w:lineRule="auto"/>
        <w:jc w:val="both"/>
        <w:rPr>
          <w:rFonts w:ascii="Montserrat" w:hAnsi="Montserrat"/>
          <w:b/>
        </w:rPr>
      </w:pPr>
      <w:r w:rsidRPr="00C8261A">
        <w:rPr>
          <w:rFonts w:ascii="Montserrat" w:hAnsi="Montserrat"/>
          <w:b/>
        </w:rPr>
        <w:t>Valor alcanzado: 0.</w:t>
      </w:r>
      <w:r>
        <w:rPr>
          <w:rFonts w:ascii="Montserrat" w:hAnsi="Montserrat"/>
          <w:b/>
        </w:rPr>
        <w:t>03</w:t>
      </w:r>
    </w:p>
    <w:p w14:paraId="7E920167" w14:textId="77777777" w:rsidR="0083137B" w:rsidRPr="00E731AF" w:rsidRDefault="0083137B" w:rsidP="003D7FD3">
      <w:pPr>
        <w:spacing w:after="0" w:line="276" w:lineRule="auto"/>
        <w:jc w:val="both"/>
        <w:rPr>
          <w:rFonts w:ascii="Montserrat" w:hAnsi="Montserrat"/>
          <w:bCs/>
        </w:rPr>
      </w:pPr>
      <w:r w:rsidRPr="00E731AF">
        <w:rPr>
          <w:rFonts w:ascii="Montserrat" w:hAnsi="Montserrat"/>
          <w:bCs/>
        </w:rPr>
        <w:t>Algunas de las razones que encontramos como limitantes para el cumplimiento de la meta son las siguientes:</w:t>
      </w:r>
    </w:p>
    <w:p w14:paraId="424CC8B9" w14:textId="77777777" w:rsidR="0083137B" w:rsidRPr="00E731AF" w:rsidRDefault="0083137B" w:rsidP="003D7FD3">
      <w:pPr>
        <w:pStyle w:val="Prrafodelista"/>
        <w:numPr>
          <w:ilvl w:val="0"/>
          <w:numId w:val="3"/>
        </w:numPr>
        <w:spacing w:after="0" w:line="276" w:lineRule="auto"/>
        <w:jc w:val="both"/>
        <w:rPr>
          <w:rFonts w:ascii="Montserrat" w:hAnsi="Montserrat"/>
          <w:bCs/>
        </w:rPr>
      </w:pPr>
      <w:r w:rsidRPr="00E731AF">
        <w:rPr>
          <w:rFonts w:ascii="Montserrat" w:hAnsi="Montserrat"/>
          <w:bCs/>
        </w:rPr>
        <w:t xml:space="preserve">Ante la crisis económica, de finanzas públicas y de salud por el COVID-19, se ha percibido una disminución en el financiamiento de proyectos científicos distintos al tema de salud, así como en la entrega de resultados de convocatorias, además de las restricciones que se tienen para realizar proyectos que impliquen actividades de campo o con grupos humanos. </w:t>
      </w:r>
    </w:p>
    <w:p w14:paraId="16BD483C" w14:textId="77777777" w:rsidR="0083137B" w:rsidRPr="00E731AF" w:rsidRDefault="0083137B" w:rsidP="003D7FD3">
      <w:pPr>
        <w:pStyle w:val="Prrafodelista"/>
        <w:numPr>
          <w:ilvl w:val="0"/>
          <w:numId w:val="3"/>
        </w:numPr>
        <w:spacing w:after="0" w:line="276" w:lineRule="auto"/>
        <w:jc w:val="both"/>
        <w:rPr>
          <w:rFonts w:ascii="Montserrat" w:hAnsi="Montserrat"/>
          <w:bCs/>
        </w:rPr>
      </w:pPr>
      <w:r>
        <w:rPr>
          <w:rFonts w:ascii="Montserrat" w:hAnsi="Montserrat"/>
          <w:bCs/>
        </w:rPr>
        <w:t>L</w:t>
      </w:r>
      <w:r w:rsidRPr="00E731AF">
        <w:rPr>
          <w:rFonts w:ascii="Montserrat" w:hAnsi="Montserrat"/>
          <w:bCs/>
        </w:rPr>
        <w:t>a limitación de viajar al extranjero</w:t>
      </w:r>
      <w:r>
        <w:rPr>
          <w:rFonts w:ascii="Montserrat" w:hAnsi="Montserrat"/>
          <w:bCs/>
        </w:rPr>
        <w:t>,</w:t>
      </w:r>
      <w:r w:rsidRPr="00E731AF">
        <w:rPr>
          <w:rFonts w:ascii="Montserrat" w:hAnsi="Montserrat"/>
          <w:bCs/>
        </w:rPr>
        <w:t xml:space="preserve"> primero por austeridad en 2019 y luego por la pandemia en 2020</w:t>
      </w:r>
      <w:r>
        <w:rPr>
          <w:rFonts w:ascii="Montserrat" w:hAnsi="Montserrat"/>
          <w:bCs/>
        </w:rPr>
        <w:t xml:space="preserve">, </w:t>
      </w:r>
      <w:r w:rsidRPr="00E731AF">
        <w:rPr>
          <w:rFonts w:ascii="Montserrat" w:hAnsi="Montserrat"/>
          <w:bCs/>
        </w:rPr>
        <w:t xml:space="preserve">ha afectado la movilidad </w:t>
      </w:r>
      <w:r>
        <w:rPr>
          <w:rFonts w:ascii="Montserrat" w:hAnsi="Montserrat"/>
          <w:bCs/>
        </w:rPr>
        <w:t>y el intercambio académico que promueve la generación de proyectos para captar recursos.</w:t>
      </w:r>
    </w:p>
    <w:p w14:paraId="7688F644" w14:textId="45B54F14" w:rsidR="0083137B" w:rsidRPr="00E731AF" w:rsidRDefault="0083137B" w:rsidP="003D7FD3">
      <w:pPr>
        <w:pStyle w:val="Prrafodelista"/>
        <w:numPr>
          <w:ilvl w:val="0"/>
          <w:numId w:val="3"/>
        </w:numPr>
        <w:spacing w:after="0" w:line="276" w:lineRule="auto"/>
        <w:jc w:val="both"/>
        <w:rPr>
          <w:rFonts w:ascii="Montserrat" w:hAnsi="Montserrat"/>
          <w:bCs/>
        </w:rPr>
      </w:pPr>
      <w:r>
        <w:rPr>
          <w:rFonts w:ascii="Montserrat" w:hAnsi="Montserrat"/>
          <w:bCs/>
        </w:rPr>
        <w:t xml:space="preserve">No </w:t>
      </w:r>
      <w:r w:rsidR="00426F9A">
        <w:rPr>
          <w:rFonts w:ascii="Montserrat" w:hAnsi="Montserrat"/>
          <w:bCs/>
        </w:rPr>
        <w:t>se puede</w:t>
      </w:r>
      <w:r>
        <w:rPr>
          <w:rFonts w:ascii="Montserrat" w:hAnsi="Montserrat"/>
          <w:bCs/>
        </w:rPr>
        <w:t xml:space="preserve"> participar en convocatorias de </w:t>
      </w:r>
      <w:r w:rsidRPr="00E731AF">
        <w:rPr>
          <w:rFonts w:ascii="Montserrat" w:hAnsi="Montserrat"/>
          <w:bCs/>
        </w:rPr>
        <w:t xml:space="preserve">fuentes </w:t>
      </w:r>
      <w:r>
        <w:rPr>
          <w:rFonts w:ascii="Montserrat" w:hAnsi="Montserrat"/>
          <w:bCs/>
        </w:rPr>
        <w:t xml:space="preserve">que </w:t>
      </w:r>
      <w:r w:rsidRPr="00E731AF">
        <w:rPr>
          <w:rFonts w:ascii="Montserrat" w:hAnsi="Montserrat"/>
          <w:bCs/>
        </w:rPr>
        <w:t xml:space="preserve">requieren fondos concurrentes, </w:t>
      </w:r>
      <w:r>
        <w:rPr>
          <w:rFonts w:ascii="Montserrat" w:hAnsi="Montserrat"/>
          <w:bCs/>
        </w:rPr>
        <w:t xml:space="preserve">debido a </w:t>
      </w:r>
      <w:r w:rsidRPr="00E731AF">
        <w:rPr>
          <w:rFonts w:ascii="Montserrat" w:hAnsi="Montserrat"/>
          <w:bCs/>
        </w:rPr>
        <w:t xml:space="preserve">la suspensión de los fideicomisos. </w:t>
      </w:r>
    </w:p>
    <w:p w14:paraId="7F5C920D" w14:textId="77777777" w:rsidR="0083137B" w:rsidRPr="00E731AF" w:rsidRDefault="0083137B" w:rsidP="003D7FD3">
      <w:pPr>
        <w:pStyle w:val="Prrafodelista"/>
        <w:numPr>
          <w:ilvl w:val="0"/>
          <w:numId w:val="3"/>
        </w:numPr>
        <w:spacing w:after="0" w:line="276" w:lineRule="auto"/>
        <w:jc w:val="both"/>
        <w:rPr>
          <w:rFonts w:ascii="Montserrat" w:hAnsi="Montserrat"/>
          <w:bCs/>
        </w:rPr>
      </w:pPr>
      <w:r w:rsidRPr="00E731AF">
        <w:rPr>
          <w:rFonts w:ascii="Montserrat" w:hAnsi="Montserrat"/>
          <w:bCs/>
        </w:rPr>
        <w:t>En algunas convocatorias internacionales en las que se ha participado, el apoyo que se obtiene es en especie.</w:t>
      </w:r>
    </w:p>
    <w:p w14:paraId="1D5BE699" w14:textId="77777777" w:rsidR="0083137B" w:rsidRPr="00487E63" w:rsidRDefault="0083137B" w:rsidP="003D7FD3">
      <w:pPr>
        <w:spacing w:after="0" w:line="276" w:lineRule="auto"/>
        <w:jc w:val="both"/>
        <w:rPr>
          <w:rFonts w:ascii="Montserrat" w:hAnsi="Montserrat"/>
          <w:bCs/>
        </w:rPr>
      </w:pPr>
    </w:p>
    <w:p w14:paraId="69AA4862" w14:textId="77777777" w:rsidR="0083137B" w:rsidRPr="00487E63" w:rsidRDefault="0083137B" w:rsidP="003D7FD3">
      <w:pPr>
        <w:spacing w:after="0" w:line="276" w:lineRule="auto"/>
        <w:jc w:val="both"/>
        <w:rPr>
          <w:rFonts w:ascii="Montserrat" w:hAnsi="Montserrat"/>
          <w:bCs/>
        </w:rPr>
      </w:pPr>
      <w:r w:rsidRPr="00487E63">
        <w:rPr>
          <w:rFonts w:ascii="Montserrat" w:hAnsi="Montserrat"/>
          <w:bCs/>
        </w:rPr>
        <w:t xml:space="preserve">Algunas acciones que se han realizado para incrementar la captación de recursos de </w:t>
      </w:r>
      <w:r>
        <w:rPr>
          <w:rFonts w:ascii="Montserrat" w:hAnsi="Montserrat"/>
          <w:bCs/>
        </w:rPr>
        <w:t xml:space="preserve">diversas </w:t>
      </w:r>
      <w:r w:rsidRPr="00487E63">
        <w:rPr>
          <w:rFonts w:ascii="Montserrat" w:hAnsi="Montserrat"/>
          <w:bCs/>
        </w:rPr>
        <w:t>fuentes incluyen:</w:t>
      </w:r>
    </w:p>
    <w:p w14:paraId="44A7B869" w14:textId="51226944" w:rsidR="0083137B" w:rsidRPr="00E731AF" w:rsidRDefault="00A87A46" w:rsidP="003D7FD3">
      <w:pPr>
        <w:pStyle w:val="Prrafodelista"/>
        <w:numPr>
          <w:ilvl w:val="0"/>
          <w:numId w:val="4"/>
        </w:numPr>
        <w:spacing w:after="0" w:line="276" w:lineRule="auto"/>
        <w:jc w:val="both"/>
        <w:rPr>
          <w:rFonts w:ascii="Montserrat" w:hAnsi="Montserrat"/>
          <w:bCs/>
        </w:rPr>
      </w:pPr>
      <w:r>
        <w:rPr>
          <w:rFonts w:ascii="Montserrat" w:hAnsi="Montserrat"/>
          <w:bCs/>
        </w:rPr>
        <w:t>Buscar</w:t>
      </w:r>
      <w:r w:rsidR="0083137B" w:rsidRPr="00E731AF">
        <w:rPr>
          <w:rFonts w:ascii="Montserrat" w:hAnsi="Montserrat"/>
          <w:bCs/>
        </w:rPr>
        <w:t xml:space="preserve"> </w:t>
      </w:r>
      <w:r w:rsidR="0083137B">
        <w:rPr>
          <w:rFonts w:ascii="Montserrat" w:hAnsi="Montserrat"/>
          <w:bCs/>
        </w:rPr>
        <w:t xml:space="preserve">nuevas </w:t>
      </w:r>
      <w:r w:rsidR="0083137B" w:rsidRPr="00E731AF">
        <w:rPr>
          <w:rFonts w:ascii="Montserrat" w:hAnsi="Montserrat"/>
          <w:bCs/>
        </w:rPr>
        <w:t>colaboraciones con grupos de investigación de otras instituciones nacionales, pero sobre todo internacionales (principalmente de la unión europea) para poder acceder a fuentes internacionales de financiamiento.</w:t>
      </w:r>
    </w:p>
    <w:p w14:paraId="715A61B1" w14:textId="77777777" w:rsidR="0083137B" w:rsidRPr="00E731AF" w:rsidRDefault="0083137B" w:rsidP="003D7FD3">
      <w:pPr>
        <w:pStyle w:val="Prrafodelista"/>
        <w:numPr>
          <w:ilvl w:val="0"/>
          <w:numId w:val="4"/>
        </w:numPr>
        <w:spacing w:after="0" w:line="276" w:lineRule="auto"/>
        <w:jc w:val="both"/>
        <w:rPr>
          <w:rFonts w:ascii="Montserrat" w:hAnsi="Montserrat"/>
          <w:bCs/>
        </w:rPr>
      </w:pPr>
      <w:r>
        <w:rPr>
          <w:rFonts w:ascii="Montserrat" w:hAnsi="Montserrat"/>
          <w:bCs/>
        </w:rPr>
        <w:lastRenderedPageBreak/>
        <w:t>Retomar e</w:t>
      </w:r>
      <w:r w:rsidRPr="00E731AF">
        <w:rPr>
          <w:rFonts w:ascii="Montserrat" w:hAnsi="Montserrat"/>
          <w:bCs/>
        </w:rPr>
        <w:t xml:space="preserve">l esfuerzo sistemático para capacitar y promover el uso del sistema SPIN para la localización eficiente de potenciales convocatorias y ampliar las opciones de fuentes de financiamiento. </w:t>
      </w:r>
    </w:p>
    <w:p w14:paraId="3362C36E" w14:textId="77777777" w:rsidR="0083137B" w:rsidRDefault="0083137B" w:rsidP="003D7FD3">
      <w:pPr>
        <w:spacing w:after="0" w:line="276" w:lineRule="auto"/>
        <w:jc w:val="both"/>
        <w:rPr>
          <w:rFonts w:ascii="Montserrat" w:hAnsi="Montserrat"/>
          <w:bCs/>
        </w:rPr>
      </w:pPr>
    </w:p>
    <w:p w14:paraId="6EF01DD0" w14:textId="77777777" w:rsidR="0083137B" w:rsidRPr="00487E63" w:rsidRDefault="0083137B" w:rsidP="003D7FD3">
      <w:pPr>
        <w:spacing w:after="0" w:line="276" w:lineRule="auto"/>
        <w:jc w:val="both"/>
        <w:rPr>
          <w:rFonts w:ascii="Montserrat" w:hAnsi="Montserrat"/>
          <w:bCs/>
        </w:rPr>
      </w:pPr>
      <w:r w:rsidRPr="00487E63">
        <w:rPr>
          <w:rFonts w:ascii="Montserrat" w:hAnsi="Montserrat"/>
          <w:bCs/>
        </w:rPr>
        <w:t>Sin embargo, aún quedan algunos retos que deberán atenderse:</w:t>
      </w:r>
    </w:p>
    <w:p w14:paraId="0CB4A003" w14:textId="77777777" w:rsidR="0083137B" w:rsidRPr="00E731AF" w:rsidRDefault="0083137B" w:rsidP="003D7FD3">
      <w:pPr>
        <w:pStyle w:val="Prrafodelista"/>
        <w:numPr>
          <w:ilvl w:val="0"/>
          <w:numId w:val="5"/>
        </w:numPr>
        <w:spacing w:after="0" w:line="276" w:lineRule="auto"/>
        <w:jc w:val="both"/>
        <w:rPr>
          <w:rFonts w:ascii="Montserrat" w:hAnsi="Montserrat"/>
          <w:bCs/>
        </w:rPr>
      </w:pPr>
      <w:r w:rsidRPr="00E731AF">
        <w:rPr>
          <w:rFonts w:ascii="Montserrat" w:hAnsi="Montserrat"/>
          <w:bCs/>
        </w:rPr>
        <w:t>La necesidad de una estructura institucional más robusta que sirva de puente entre la ciencia y la sociedad para participar en proyectos de incidencia.</w:t>
      </w:r>
    </w:p>
    <w:p w14:paraId="086B58DA" w14:textId="77777777" w:rsidR="0083137B" w:rsidRPr="00E731AF" w:rsidRDefault="0083137B" w:rsidP="003D7FD3">
      <w:pPr>
        <w:pStyle w:val="Prrafodelista"/>
        <w:numPr>
          <w:ilvl w:val="0"/>
          <w:numId w:val="5"/>
        </w:numPr>
        <w:spacing w:after="0" w:line="276" w:lineRule="auto"/>
        <w:jc w:val="both"/>
        <w:rPr>
          <w:rFonts w:ascii="Montserrat" w:hAnsi="Montserrat"/>
          <w:bCs/>
        </w:rPr>
      </w:pPr>
      <w:r w:rsidRPr="00E731AF">
        <w:rPr>
          <w:rFonts w:ascii="Montserrat" w:hAnsi="Montserrat"/>
          <w:bCs/>
        </w:rPr>
        <w:t>Una alternativa al fondo institucional para contar con fondos concurrentes para participar en convocatorias que lo requieran.</w:t>
      </w:r>
    </w:p>
    <w:p w14:paraId="193C5ACB" w14:textId="77777777" w:rsidR="0083137B" w:rsidRPr="00E731AF" w:rsidRDefault="0083137B" w:rsidP="003D7FD3">
      <w:pPr>
        <w:pStyle w:val="Prrafodelista"/>
        <w:numPr>
          <w:ilvl w:val="0"/>
          <w:numId w:val="5"/>
        </w:numPr>
        <w:spacing w:after="0" w:line="276" w:lineRule="auto"/>
        <w:jc w:val="both"/>
        <w:rPr>
          <w:rFonts w:ascii="Montserrat" w:hAnsi="Montserrat"/>
          <w:bCs/>
        </w:rPr>
      </w:pPr>
      <w:r w:rsidRPr="00E731AF">
        <w:rPr>
          <w:rFonts w:ascii="Montserrat" w:hAnsi="Montserrat"/>
          <w:bCs/>
        </w:rPr>
        <w:t>Una normatividad federal más flexible para la obtención y operación de recursos externos.</w:t>
      </w:r>
    </w:p>
    <w:p w14:paraId="3B73EF0B" w14:textId="77777777" w:rsidR="0083137B" w:rsidRDefault="0083137B" w:rsidP="0083137B">
      <w:pPr>
        <w:spacing w:after="0" w:line="240" w:lineRule="auto"/>
        <w:jc w:val="center"/>
        <w:rPr>
          <w:rFonts w:ascii="Montserrat" w:hAnsi="Montserrat"/>
          <w:b/>
        </w:rPr>
      </w:pPr>
    </w:p>
    <w:p w14:paraId="69A655E8" w14:textId="77777777" w:rsidR="0083137B" w:rsidRDefault="0083137B" w:rsidP="0083137B">
      <w:pPr>
        <w:spacing w:after="0" w:line="240" w:lineRule="auto"/>
        <w:jc w:val="center"/>
        <w:rPr>
          <w:rFonts w:ascii="Montserrat" w:hAnsi="Montserrat"/>
          <w:b/>
        </w:rPr>
      </w:pPr>
    </w:p>
    <w:p w14:paraId="2D3A881D" w14:textId="77777777" w:rsidR="0083137B" w:rsidRDefault="0083137B" w:rsidP="0083137B">
      <w:pPr>
        <w:spacing w:after="0" w:line="240" w:lineRule="auto"/>
        <w:jc w:val="center"/>
        <w:rPr>
          <w:rFonts w:ascii="Montserrat" w:hAnsi="Montserrat"/>
          <w:b/>
        </w:rPr>
      </w:pPr>
    </w:p>
    <w:p w14:paraId="39848A6A" w14:textId="77777777" w:rsidR="0083137B" w:rsidRPr="006B7312" w:rsidRDefault="0083137B" w:rsidP="0083137B">
      <w:pPr>
        <w:jc w:val="center"/>
        <w:rPr>
          <w:rFonts w:ascii="Montserrat" w:hAnsi="Montserrat"/>
        </w:rPr>
      </w:pPr>
      <w:r w:rsidRPr="00554BE7">
        <w:rPr>
          <w:rFonts w:ascii="Montserrat" w:hAnsi="Montserrat"/>
          <w:b/>
        </w:rPr>
        <w:t>Responsable de recopilar la información y elaborar e</w:t>
      </w:r>
      <w:r>
        <w:rPr>
          <w:rFonts w:ascii="Montserrat" w:hAnsi="Montserrat"/>
          <w:b/>
        </w:rPr>
        <w:t>ste</w:t>
      </w:r>
      <w:r w:rsidRPr="00554BE7">
        <w:rPr>
          <w:rFonts w:ascii="Montserrat" w:hAnsi="Montserrat"/>
          <w:b/>
        </w:rPr>
        <w:t xml:space="preserve"> informe</w:t>
      </w:r>
      <w:r>
        <w:rPr>
          <w:rFonts w:ascii="Montserrat" w:hAnsi="Montserrat"/>
          <w:b/>
        </w:rPr>
        <w:t>:</w:t>
      </w:r>
    </w:p>
    <w:p w14:paraId="2CBEE218" w14:textId="77777777" w:rsidR="0083137B" w:rsidRPr="00554BE7" w:rsidRDefault="0083137B" w:rsidP="0083137B">
      <w:pPr>
        <w:spacing w:after="0" w:line="240" w:lineRule="auto"/>
        <w:jc w:val="center"/>
        <w:rPr>
          <w:rFonts w:ascii="Montserrat" w:hAnsi="Montserrat"/>
          <w:b/>
        </w:rPr>
      </w:pPr>
      <w:r w:rsidRPr="00554BE7">
        <w:rPr>
          <w:rFonts w:ascii="Montserrat" w:hAnsi="Montserrat"/>
          <w:b/>
        </w:rPr>
        <w:t>Mtro. Aldo Guillén Bermúdez</w:t>
      </w:r>
    </w:p>
    <w:p w14:paraId="31F4878A" w14:textId="77777777" w:rsidR="0083137B" w:rsidRDefault="0083137B" w:rsidP="0083137B">
      <w:pPr>
        <w:spacing w:after="0" w:line="240" w:lineRule="auto"/>
        <w:jc w:val="center"/>
        <w:rPr>
          <w:rFonts w:ascii="Montserrat" w:hAnsi="Montserrat"/>
          <w:b/>
        </w:rPr>
      </w:pPr>
      <w:r w:rsidRPr="00554BE7">
        <w:rPr>
          <w:rFonts w:ascii="Montserrat" w:hAnsi="Montserrat"/>
          <w:b/>
        </w:rPr>
        <w:t>Coordinación de Estrategias y Programas Institucionales</w:t>
      </w:r>
    </w:p>
    <w:p w14:paraId="6B44BDB6" w14:textId="77777777" w:rsidR="00A82399" w:rsidRPr="007F75F3" w:rsidRDefault="00A82399" w:rsidP="007F75F3">
      <w:pPr>
        <w:spacing w:after="0"/>
        <w:ind w:right="-70"/>
        <w:rPr>
          <w:rFonts w:ascii="Montserrat" w:eastAsia="Calibri" w:hAnsi="Montserrat" w:cs="Times New Roman"/>
          <w:b/>
          <w:bCs/>
        </w:rPr>
      </w:pPr>
    </w:p>
    <w:sectPr w:rsidR="00A82399" w:rsidRPr="007F75F3" w:rsidSect="00A82399">
      <w:headerReference w:type="default" r:id="rId7"/>
      <w:footerReference w:type="default" r:id="rId8"/>
      <w:pgSz w:w="12240" w:h="15840"/>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B8AA0" w14:textId="77777777" w:rsidR="004861FD" w:rsidRDefault="004861FD" w:rsidP="00D32FA5">
      <w:pPr>
        <w:spacing w:after="0" w:line="240" w:lineRule="auto"/>
      </w:pPr>
      <w:r>
        <w:separator/>
      </w:r>
    </w:p>
  </w:endnote>
  <w:endnote w:type="continuationSeparator" w:id="0">
    <w:p w14:paraId="00FCA59C" w14:textId="77777777" w:rsidR="004861FD" w:rsidRDefault="004861FD" w:rsidP="00D3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3080686"/>
      <w:docPartObj>
        <w:docPartGallery w:val="Page Numbers (Bottom of Page)"/>
        <w:docPartUnique/>
      </w:docPartObj>
    </w:sdtPr>
    <w:sdtEndPr>
      <w:rPr>
        <w:rFonts w:ascii="Montserrat" w:hAnsi="Montserrat"/>
      </w:rPr>
    </w:sdtEndPr>
    <w:sdtContent>
      <w:p w14:paraId="71E1C578" w14:textId="2368DF8E" w:rsidR="008328CF" w:rsidRPr="008328CF" w:rsidRDefault="008328CF">
        <w:pPr>
          <w:pStyle w:val="Piedepgina"/>
          <w:jc w:val="center"/>
          <w:rPr>
            <w:rFonts w:ascii="Montserrat" w:hAnsi="Montserrat"/>
          </w:rPr>
        </w:pPr>
        <w:r w:rsidRPr="008328CF">
          <w:rPr>
            <w:rFonts w:ascii="Montserrat" w:hAnsi="Montserrat"/>
          </w:rPr>
          <w:fldChar w:fldCharType="begin"/>
        </w:r>
        <w:r w:rsidRPr="008328CF">
          <w:rPr>
            <w:rFonts w:ascii="Montserrat" w:hAnsi="Montserrat"/>
          </w:rPr>
          <w:instrText>PAGE   \* MERGEFORMAT</w:instrText>
        </w:r>
        <w:r w:rsidRPr="008328CF">
          <w:rPr>
            <w:rFonts w:ascii="Montserrat" w:hAnsi="Montserrat"/>
          </w:rPr>
          <w:fldChar w:fldCharType="separate"/>
        </w:r>
        <w:r w:rsidRPr="008328CF">
          <w:rPr>
            <w:rFonts w:ascii="Montserrat" w:hAnsi="Montserrat"/>
            <w:lang w:val="es-ES"/>
          </w:rPr>
          <w:t>2</w:t>
        </w:r>
        <w:r w:rsidRPr="008328CF">
          <w:rPr>
            <w:rFonts w:ascii="Montserrat" w:hAnsi="Montserrat"/>
          </w:rPr>
          <w:fldChar w:fldCharType="end"/>
        </w:r>
      </w:p>
    </w:sdtContent>
  </w:sdt>
  <w:p w14:paraId="29ECFBD7" w14:textId="77777777" w:rsidR="008328CF" w:rsidRDefault="00832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A59E2" w14:textId="77777777" w:rsidR="004861FD" w:rsidRDefault="004861FD" w:rsidP="00D32FA5">
      <w:pPr>
        <w:spacing w:after="0" w:line="240" w:lineRule="auto"/>
      </w:pPr>
      <w:r>
        <w:separator/>
      </w:r>
    </w:p>
  </w:footnote>
  <w:footnote w:type="continuationSeparator" w:id="0">
    <w:p w14:paraId="6800E4C2" w14:textId="77777777" w:rsidR="004861FD" w:rsidRDefault="004861FD" w:rsidP="00D32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76900" w14:textId="127867AF" w:rsidR="00D32FA5" w:rsidRDefault="0083137B">
    <w:pPr>
      <w:pStyle w:val="Encabezado"/>
    </w:pPr>
    <w:r>
      <w:rPr>
        <w:noProof/>
      </w:rPr>
      <w:drawing>
        <wp:anchor distT="0" distB="0" distL="114300" distR="114300" simplePos="0" relativeHeight="251658240" behindDoc="0" locked="0" layoutInCell="1" allowOverlap="1" wp14:anchorId="60766888" wp14:editId="1E2C2C56">
          <wp:simplePos x="0" y="0"/>
          <wp:positionH relativeFrom="column">
            <wp:posOffset>0</wp:posOffset>
          </wp:positionH>
          <wp:positionV relativeFrom="paragraph">
            <wp:posOffset>-122996</wp:posOffset>
          </wp:positionV>
          <wp:extent cx="5975948" cy="962108"/>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948" cy="962108"/>
                  </a:xfrm>
                  <a:prstGeom prst="rect">
                    <a:avLst/>
                  </a:prstGeom>
                  <a:noFill/>
                </pic:spPr>
              </pic:pic>
            </a:graphicData>
          </a:graphic>
          <wp14:sizeRelH relativeFrom="page">
            <wp14:pctWidth>0</wp14:pctWidth>
          </wp14:sizeRelH>
          <wp14:sizeRelV relativeFrom="page">
            <wp14:pctHeight>0</wp14:pctHeight>
          </wp14:sizeRelV>
        </wp:anchor>
      </w:drawing>
    </w:r>
  </w:p>
  <w:p w14:paraId="79A5D6D9" w14:textId="6A63D1E6" w:rsidR="00D32FA5" w:rsidRDefault="00D32FA5">
    <w:pPr>
      <w:pStyle w:val="Encabezado"/>
    </w:pPr>
  </w:p>
  <w:p w14:paraId="601B1A29" w14:textId="2642C5D4" w:rsidR="00D32FA5" w:rsidRDefault="00D32FA5">
    <w:pPr>
      <w:pStyle w:val="Encabezado"/>
    </w:pPr>
  </w:p>
  <w:p w14:paraId="6AAC2F1A" w14:textId="77777777" w:rsidR="0083137B" w:rsidRDefault="0083137B">
    <w:pPr>
      <w:pStyle w:val="Encabezado"/>
    </w:pPr>
  </w:p>
  <w:p w14:paraId="24A93B04" w14:textId="0B49D568" w:rsidR="00D32FA5" w:rsidRDefault="00D32FA5">
    <w:pPr>
      <w:pStyle w:val="Encabezado"/>
    </w:pPr>
  </w:p>
  <w:p w14:paraId="2A8CBF2A" w14:textId="77777777" w:rsidR="00D32FA5" w:rsidRDefault="00D32FA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34436"/>
    <w:multiLevelType w:val="hybridMultilevel"/>
    <w:tmpl w:val="3132AD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805FB"/>
    <w:multiLevelType w:val="hybridMultilevel"/>
    <w:tmpl w:val="4ECEB1E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FB21CE8"/>
    <w:multiLevelType w:val="hybridMultilevel"/>
    <w:tmpl w:val="B17A3EC4"/>
    <w:lvl w:ilvl="0" w:tplc="E5DA66F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5376107E"/>
    <w:multiLevelType w:val="hybridMultilevel"/>
    <w:tmpl w:val="969C472E"/>
    <w:lvl w:ilvl="0" w:tplc="080A000F">
      <w:start w:val="1"/>
      <w:numFmt w:val="decimal"/>
      <w:lvlText w:val="%1."/>
      <w:lvlJc w:val="left"/>
      <w:pPr>
        <w:ind w:left="360" w:hanging="360"/>
      </w:pPr>
    </w:lvl>
    <w:lvl w:ilvl="1" w:tplc="2E0E479E">
      <w:numFmt w:val="bullet"/>
      <w:lvlText w:val="•"/>
      <w:lvlJc w:val="left"/>
      <w:pPr>
        <w:ind w:left="1425" w:hanging="705"/>
      </w:pPr>
      <w:rPr>
        <w:rFonts w:ascii="Montserrat" w:eastAsiaTheme="minorHAnsi" w:hAnsi="Montserrat" w:cstheme="minorBidi"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6F4E5485"/>
    <w:multiLevelType w:val="hybridMultilevel"/>
    <w:tmpl w:val="584272CA"/>
    <w:lvl w:ilvl="0" w:tplc="080A000F">
      <w:start w:val="1"/>
      <w:numFmt w:val="decimal"/>
      <w:lvlText w:val="%1."/>
      <w:lvlJc w:val="left"/>
      <w:pPr>
        <w:ind w:left="360" w:hanging="360"/>
      </w:pPr>
    </w:lvl>
    <w:lvl w:ilvl="1" w:tplc="080A000F">
      <w:start w:val="1"/>
      <w:numFmt w:val="decimal"/>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C3"/>
    <w:rsid w:val="00010BA5"/>
    <w:rsid w:val="003D7FD3"/>
    <w:rsid w:val="00426F9A"/>
    <w:rsid w:val="004861FD"/>
    <w:rsid w:val="0056530D"/>
    <w:rsid w:val="007F75F3"/>
    <w:rsid w:val="0083137B"/>
    <w:rsid w:val="008328CF"/>
    <w:rsid w:val="008F20C9"/>
    <w:rsid w:val="00A82399"/>
    <w:rsid w:val="00A87A46"/>
    <w:rsid w:val="00D32FA5"/>
    <w:rsid w:val="00F75EC3"/>
    <w:rsid w:val="00FB38FA"/>
    <w:rsid w:val="00FE18E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B20E"/>
  <w15:chartTrackingRefBased/>
  <w15:docId w15:val="{5B4D65CC-708F-4A18-8782-0B9E0633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FA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2FA5"/>
  </w:style>
  <w:style w:type="paragraph" w:styleId="Piedepgina">
    <w:name w:val="footer"/>
    <w:basedOn w:val="Normal"/>
    <w:link w:val="PiedepginaCar"/>
    <w:uiPriority w:val="99"/>
    <w:unhideWhenUsed/>
    <w:rsid w:val="00D32FA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2FA5"/>
  </w:style>
  <w:style w:type="paragraph" w:styleId="Prrafodelista">
    <w:name w:val="List Paragraph"/>
    <w:basedOn w:val="Normal"/>
    <w:uiPriority w:val="34"/>
    <w:qFormat/>
    <w:rsid w:val="00D3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369319">
      <w:bodyDiv w:val="1"/>
      <w:marLeft w:val="0"/>
      <w:marRight w:val="0"/>
      <w:marTop w:val="0"/>
      <w:marBottom w:val="0"/>
      <w:divBdr>
        <w:top w:val="none" w:sz="0" w:space="0" w:color="auto"/>
        <w:left w:val="none" w:sz="0" w:space="0" w:color="auto"/>
        <w:bottom w:val="none" w:sz="0" w:space="0" w:color="auto"/>
        <w:right w:val="none" w:sz="0" w:space="0" w:color="auto"/>
      </w:divBdr>
    </w:div>
    <w:div w:id="98698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1062</Words>
  <Characters>5841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Claude Brunel Manse</dc:creator>
  <cp:keywords/>
  <dc:description/>
  <cp:lastModifiedBy>Marie Claude Brunel Manse</cp:lastModifiedBy>
  <cp:revision>5</cp:revision>
  <dcterms:created xsi:type="dcterms:W3CDTF">2020-11-05T15:50:00Z</dcterms:created>
  <dcterms:modified xsi:type="dcterms:W3CDTF">2020-11-05T16:03:00Z</dcterms:modified>
</cp:coreProperties>
</file>