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F2605" w14:textId="73217EEA" w:rsidR="00150E6B" w:rsidRDefault="00150E6B">
      <w:pPr>
        <w:rPr>
          <w:rFonts w:ascii="Montserrat" w:hAnsi="Montserrat"/>
          <w:b/>
          <w:bCs/>
          <w:sz w:val="28"/>
          <w:szCs w:val="28"/>
        </w:rPr>
      </w:pPr>
      <w:r w:rsidRPr="00A81726">
        <w:rPr>
          <w:rFonts w:ascii="Montserrat" w:hAnsi="Montserrat"/>
          <w:b/>
          <w:bCs/>
          <w:sz w:val="28"/>
          <w:szCs w:val="28"/>
        </w:rPr>
        <w:t>IV. Seguimiento de Acuerdos</w:t>
      </w:r>
    </w:p>
    <w:p w14:paraId="670EDD6D" w14:textId="77777777" w:rsidR="00A81726" w:rsidRPr="00A81726" w:rsidRDefault="00A81726">
      <w:pPr>
        <w:rPr>
          <w:rFonts w:ascii="Montserrat" w:hAnsi="Montserrat"/>
          <w:b/>
          <w:bCs/>
          <w:sz w:val="20"/>
          <w:szCs w:val="20"/>
        </w:rPr>
      </w:pPr>
    </w:p>
    <w:tbl>
      <w:tblPr>
        <w:tblStyle w:val="Tablaconcuadrcula"/>
        <w:tblW w:w="14317" w:type="dxa"/>
        <w:tblInd w:w="-147" w:type="dxa"/>
        <w:tblLayout w:type="fixed"/>
        <w:tblLook w:val="04A0" w:firstRow="1" w:lastRow="0" w:firstColumn="1" w:lastColumn="0" w:noHBand="0" w:noVBand="1"/>
      </w:tblPr>
      <w:tblGrid>
        <w:gridCol w:w="709"/>
        <w:gridCol w:w="3119"/>
        <w:gridCol w:w="1559"/>
        <w:gridCol w:w="3686"/>
        <w:gridCol w:w="1417"/>
        <w:gridCol w:w="1418"/>
        <w:gridCol w:w="2409"/>
      </w:tblGrid>
      <w:tr w:rsidR="0090240C" w:rsidRPr="00383204" w14:paraId="124CCE03" w14:textId="77777777" w:rsidTr="00804D5E">
        <w:trPr>
          <w:trHeight w:val="182"/>
        </w:trPr>
        <w:tc>
          <w:tcPr>
            <w:tcW w:w="3828" w:type="dxa"/>
            <w:gridSpan w:val="2"/>
            <w:shd w:val="clear" w:color="auto" w:fill="DEEAF6" w:themeFill="accent5" w:themeFillTint="33"/>
          </w:tcPr>
          <w:p w14:paraId="2A2BCDAE" w14:textId="0224633A" w:rsidR="00EE3A92" w:rsidRPr="00383204" w:rsidRDefault="00EE3A92" w:rsidP="0092365B">
            <w:pPr>
              <w:spacing w:line="240" w:lineRule="auto"/>
              <w:jc w:val="center"/>
              <w:rPr>
                <w:rFonts w:ascii="Montserrat" w:hAnsi="Montserrat"/>
                <w:b/>
                <w:bCs/>
                <w:sz w:val="20"/>
                <w:szCs w:val="20"/>
              </w:rPr>
            </w:pPr>
            <w:r w:rsidRPr="00383204">
              <w:rPr>
                <w:rFonts w:ascii="Montserrat" w:hAnsi="Montserrat"/>
                <w:b/>
                <w:bCs/>
                <w:sz w:val="20"/>
                <w:szCs w:val="20"/>
              </w:rPr>
              <w:t>Acuerdo</w:t>
            </w:r>
          </w:p>
        </w:tc>
        <w:tc>
          <w:tcPr>
            <w:tcW w:w="1559" w:type="dxa"/>
            <w:vMerge w:val="restart"/>
            <w:shd w:val="clear" w:color="auto" w:fill="DEEAF6" w:themeFill="accent5" w:themeFillTint="33"/>
          </w:tcPr>
          <w:p w14:paraId="78BF8129" w14:textId="77777777" w:rsidR="00EE3A92" w:rsidRDefault="00EE3A92" w:rsidP="0092365B">
            <w:pPr>
              <w:spacing w:line="240" w:lineRule="auto"/>
              <w:jc w:val="center"/>
              <w:rPr>
                <w:rFonts w:ascii="Montserrat" w:hAnsi="Montserrat"/>
                <w:b/>
                <w:bCs/>
                <w:sz w:val="20"/>
                <w:szCs w:val="20"/>
              </w:rPr>
            </w:pPr>
            <w:r w:rsidRPr="00383204">
              <w:rPr>
                <w:rFonts w:ascii="Montserrat" w:hAnsi="Montserrat"/>
                <w:b/>
                <w:bCs/>
                <w:sz w:val="20"/>
                <w:szCs w:val="20"/>
              </w:rPr>
              <w:t>Área(s) responsable(s)</w:t>
            </w:r>
          </w:p>
          <w:p w14:paraId="6D7E62D3" w14:textId="5DED6EC6" w:rsidR="00235FD1" w:rsidRPr="00235FD1" w:rsidRDefault="00235FD1" w:rsidP="00235FD1">
            <w:pPr>
              <w:jc w:val="center"/>
              <w:rPr>
                <w:rFonts w:ascii="Montserrat" w:hAnsi="Montserrat"/>
                <w:sz w:val="20"/>
                <w:szCs w:val="20"/>
              </w:rPr>
            </w:pPr>
          </w:p>
        </w:tc>
        <w:tc>
          <w:tcPr>
            <w:tcW w:w="3686" w:type="dxa"/>
            <w:vMerge w:val="restart"/>
            <w:shd w:val="clear" w:color="auto" w:fill="DEEAF6" w:themeFill="accent5" w:themeFillTint="33"/>
          </w:tcPr>
          <w:p w14:paraId="563A7B6B" w14:textId="77777777" w:rsidR="007B64B3" w:rsidRPr="00383204" w:rsidRDefault="007B64B3" w:rsidP="0092365B">
            <w:pPr>
              <w:spacing w:line="240" w:lineRule="auto"/>
              <w:jc w:val="center"/>
              <w:rPr>
                <w:rFonts w:ascii="Montserrat" w:eastAsia="Candara" w:hAnsi="Montserrat" w:cs="Candara"/>
                <w:b/>
                <w:spacing w:val="2"/>
                <w:w w:val="102"/>
                <w:sz w:val="20"/>
                <w:szCs w:val="20"/>
              </w:rPr>
            </w:pPr>
          </w:p>
          <w:p w14:paraId="24A237F5" w14:textId="31599F21" w:rsidR="00EE3A92" w:rsidRPr="00383204" w:rsidRDefault="00EE3A92" w:rsidP="0092365B">
            <w:pPr>
              <w:spacing w:line="240" w:lineRule="auto"/>
              <w:jc w:val="center"/>
              <w:rPr>
                <w:rFonts w:ascii="Montserrat" w:hAnsi="Montserrat"/>
                <w:b/>
                <w:bCs/>
                <w:sz w:val="20"/>
                <w:szCs w:val="20"/>
              </w:rPr>
            </w:pPr>
            <w:r w:rsidRPr="00383204">
              <w:rPr>
                <w:rFonts w:ascii="Montserrat" w:eastAsia="Candara" w:hAnsi="Montserrat" w:cs="Candara"/>
                <w:b/>
                <w:spacing w:val="2"/>
                <w:w w:val="102"/>
                <w:sz w:val="20"/>
                <w:szCs w:val="20"/>
              </w:rPr>
              <w:t>Acciones realizadas</w:t>
            </w:r>
          </w:p>
        </w:tc>
        <w:tc>
          <w:tcPr>
            <w:tcW w:w="1417" w:type="dxa"/>
            <w:vMerge w:val="restart"/>
            <w:shd w:val="clear" w:color="auto" w:fill="DEEAF6" w:themeFill="accent5" w:themeFillTint="33"/>
          </w:tcPr>
          <w:p w14:paraId="7E497CDB" w14:textId="27540391" w:rsidR="00EE3A92" w:rsidRPr="00383204" w:rsidRDefault="00EE3A92" w:rsidP="0092365B">
            <w:pPr>
              <w:spacing w:line="240" w:lineRule="auto"/>
              <w:jc w:val="center"/>
              <w:rPr>
                <w:rFonts w:ascii="Montserrat" w:hAnsi="Montserrat"/>
                <w:b/>
                <w:bCs/>
                <w:sz w:val="20"/>
                <w:szCs w:val="20"/>
              </w:rPr>
            </w:pPr>
            <w:r w:rsidRPr="00383204">
              <w:rPr>
                <w:rFonts w:ascii="Montserrat" w:eastAsia="Candara" w:hAnsi="Montserrat" w:cs="Candara"/>
                <w:b/>
                <w:spacing w:val="2"/>
                <w:w w:val="103"/>
                <w:sz w:val="20"/>
                <w:szCs w:val="20"/>
              </w:rPr>
              <w:t>% avances</w:t>
            </w:r>
          </w:p>
        </w:tc>
        <w:tc>
          <w:tcPr>
            <w:tcW w:w="1418" w:type="dxa"/>
            <w:vMerge w:val="restart"/>
            <w:shd w:val="clear" w:color="auto" w:fill="DEEAF6" w:themeFill="accent5" w:themeFillTint="33"/>
          </w:tcPr>
          <w:p w14:paraId="6447C901" w14:textId="0805648D" w:rsidR="00EE3A92" w:rsidRPr="00383204" w:rsidRDefault="00EE3A92" w:rsidP="0092365B">
            <w:pPr>
              <w:spacing w:line="240" w:lineRule="auto"/>
              <w:jc w:val="center"/>
              <w:rPr>
                <w:rFonts w:ascii="Montserrat" w:hAnsi="Montserrat"/>
                <w:b/>
                <w:bCs/>
                <w:sz w:val="20"/>
                <w:szCs w:val="20"/>
              </w:rPr>
            </w:pPr>
            <w:r w:rsidRPr="00383204">
              <w:rPr>
                <w:rFonts w:ascii="Montserrat" w:eastAsia="Candara" w:hAnsi="Montserrat" w:cs="Candara"/>
                <w:b/>
                <w:spacing w:val="2"/>
                <w:w w:val="102"/>
                <w:sz w:val="20"/>
                <w:szCs w:val="20"/>
              </w:rPr>
              <w:t>Fecha compromiso</w:t>
            </w:r>
          </w:p>
        </w:tc>
        <w:tc>
          <w:tcPr>
            <w:tcW w:w="2409" w:type="dxa"/>
            <w:vMerge w:val="restart"/>
            <w:shd w:val="clear" w:color="auto" w:fill="DEEAF6" w:themeFill="accent5" w:themeFillTint="33"/>
          </w:tcPr>
          <w:p w14:paraId="30F7177C" w14:textId="584689D4" w:rsidR="00EE3A92" w:rsidRPr="00383204" w:rsidRDefault="00EE3A92" w:rsidP="0092365B">
            <w:pPr>
              <w:spacing w:line="240" w:lineRule="auto"/>
              <w:jc w:val="center"/>
              <w:rPr>
                <w:rFonts w:ascii="Montserrat" w:hAnsi="Montserrat"/>
                <w:b/>
                <w:bCs/>
                <w:sz w:val="20"/>
                <w:szCs w:val="20"/>
              </w:rPr>
            </w:pPr>
            <w:r w:rsidRPr="00383204">
              <w:rPr>
                <w:rFonts w:ascii="Montserrat" w:eastAsia="Candara" w:hAnsi="Montserrat" w:cs="Candara"/>
                <w:b/>
                <w:spacing w:val="2"/>
                <w:w w:val="102"/>
                <w:sz w:val="20"/>
                <w:szCs w:val="20"/>
              </w:rPr>
              <w:t>Impacto negativo en caso de no cumplir en tiempo y forma</w:t>
            </w:r>
          </w:p>
        </w:tc>
      </w:tr>
      <w:tr w:rsidR="007B64B3" w:rsidRPr="00383204" w14:paraId="510849AB" w14:textId="77777777" w:rsidTr="00804D5E">
        <w:trPr>
          <w:trHeight w:val="181"/>
        </w:trPr>
        <w:tc>
          <w:tcPr>
            <w:tcW w:w="709" w:type="dxa"/>
            <w:shd w:val="clear" w:color="auto" w:fill="DEEAF6" w:themeFill="accent5" w:themeFillTint="33"/>
          </w:tcPr>
          <w:p w14:paraId="1D00397E" w14:textId="16775237" w:rsidR="00EE3A92" w:rsidRPr="00383204" w:rsidRDefault="00EE3A92" w:rsidP="0092365B">
            <w:pPr>
              <w:spacing w:line="240" w:lineRule="auto"/>
              <w:jc w:val="center"/>
              <w:rPr>
                <w:rFonts w:ascii="Montserrat" w:hAnsi="Montserrat"/>
                <w:b/>
                <w:bCs/>
                <w:sz w:val="20"/>
                <w:szCs w:val="20"/>
              </w:rPr>
            </w:pPr>
            <w:proofErr w:type="spellStart"/>
            <w:r w:rsidRPr="00383204">
              <w:rPr>
                <w:rFonts w:ascii="Montserrat" w:hAnsi="Montserrat"/>
                <w:b/>
                <w:bCs/>
                <w:sz w:val="20"/>
                <w:szCs w:val="20"/>
              </w:rPr>
              <w:t>N</w:t>
            </w:r>
            <w:r w:rsidR="007B64B3" w:rsidRPr="00383204">
              <w:rPr>
                <w:rFonts w:ascii="Montserrat" w:hAnsi="Montserrat"/>
                <w:b/>
                <w:bCs/>
                <w:sz w:val="20"/>
                <w:szCs w:val="20"/>
              </w:rPr>
              <w:t>°</w:t>
            </w:r>
            <w:proofErr w:type="spellEnd"/>
          </w:p>
        </w:tc>
        <w:tc>
          <w:tcPr>
            <w:tcW w:w="3119" w:type="dxa"/>
            <w:shd w:val="clear" w:color="auto" w:fill="DEEAF6" w:themeFill="accent5" w:themeFillTint="33"/>
          </w:tcPr>
          <w:p w14:paraId="5EB1B67D" w14:textId="675F30FD" w:rsidR="00EE3A92" w:rsidRPr="00383204" w:rsidRDefault="00EE3A92" w:rsidP="0092365B">
            <w:pPr>
              <w:spacing w:line="240" w:lineRule="auto"/>
              <w:jc w:val="center"/>
              <w:rPr>
                <w:rFonts w:ascii="Montserrat" w:hAnsi="Montserrat"/>
                <w:b/>
                <w:bCs/>
                <w:sz w:val="20"/>
                <w:szCs w:val="20"/>
              </w:rPr>
            </w:pPr>
            <w:r w:rsidRPr="00383204">
              <w:rPr>
                <w:rFonts w:ascii="Montserrat" w:hAnsi="Montserrat"/>
                <w:b/>
                <w:bCs/>
                <w:sz w:val="20"/>
                <w:szCs w:val="20"/>
              </w:rPr>
              <w:t>Descripción</w:t>
            </w:r>
          </w:p>
        </w:tc>
        <w:tc>
          <w:tcPr>
            <w:tcW w:w="1559" w:type="dxa"/>
            <w:vMerge/>
            <w:shd w:val="clear" w:color="auto" w:fill="DEEAF6" w:themeFill="accent5" w:themeFillTint="33"/>
          </w:tcPr>
          <w:p w14:paraId="62B2D185" w14:textId="77777777" w:rsidR="00EE3A92" w:rsidRPr="00383204" w:rsidRDefault="00EE3A92" w:rsidP="0092365B">
            <w:pPr>
              <w:spacing w:line="240" w:lineRule="auto"/>
              <w:jc w:val="center"/>
              <w:rPr>
                <w:rFonts w:ascii="Montserrat" w:hAnsi="Montserrat"/>
                <w:b/>
                <w:bCs/>
                <w:sz w:val="20"/>
                <w:szCs w:val="20"/>
              </w:rPr>
            </w:pPr>
          </w:p>
        </w:tc>
        <w:tc>
          <w:tcPr>
            <w:tcW w:w="3686" w:type="dxa"/>
            <w:vMerge/>
            <w:shd w:val="clear" w:color="auto" w:fill="DEEAF6" w:themeFill="accent5" w:themeFillTint="33"/>
          </w:tcPr>
          <w:p w14:paraId="011CBBAE" w14:textId="77777777" w:rsidR="00EE3A92" w:rsidRPr="00383204" w:rsidRDefault="00EE3A92" w:rsidP="0092365B">
            <w:pPr>
              <w:spacing w:line="240" w:lineRule="auto"/>
              <w:jc w:val="center"/>
              <w:rPr>
                <w:rFonts w:ascii="Montserrat" w:hAnsi="Montserrat"/>
                <w:b/>
                <w:bCs/>
                <w:sz w:val="20"/>
                <w:szCs w:val="20"/>
              </w:rPr>
            </w:pPr>
          </w:p>
        </w:tc>
        <w:tc>
          <w:tcPr>
            <w:tcW w:w="1417" w:type="dxa"/>
            <w:vMerge/>
            <w:shd w:val="clear" w:color="auto" w:fill="DEEAF6" w:themeFill="accent5" w:themeFillTint="33"/>
          </w:tcPr>
          <w:p w14:paraId="4658A5F4" w14:textId="77777777" w:rsidR="00EE3A92" w:rsidRPr="00383204" w:rsidRDefault="00EE3A92" w:rsidP="0092365B">
            <w:pPr>
              <w:spacing w:line="240" w:lineRule="auto"/>
              <w:jc w:val="center"/>
              <w:rPr>
                <w:rFonts w:ascii="Montserrat" w:hAnsi="Montserrat"/>
                <w:b/>
                <w:bCs/>
                <w:sz w:val="20"/>
                <w:szCs w:val="20"/>
              </w:rPr>
            </w:pPr>
          </w:p>
        </w:tc>
        <w:tc>
          <w:tcPr>
            <w:tcW w:w="1418" w:type="dxa"/>
            <w:vMerge/>
            <w:shd w:val="clear" w:color="auto" w:fill="DEEAF6" w:themeFill="accent5" w:themeFillTint="33"/>
          </w:tcPr>
          <w:p w14:paraId="51E34DC5" w14:textId="77777777" w:rsidR="00EE3A92" w:rsidRPr="00383204" w:rsidRDefault="00EE3A92" w:rsidP="0092365B">
            <w:pPr>
              <w:spacing w:line="240" w:lineRule="auto"/>
              <w:jc w:val="center"/>
              <w:rPr>
                <w:rFonts w:ascii="Montserrat" w:hAnsi="Montserrat"/>
                <w:b/>
                <w:bCs/>
                <w:sz w:val="20"/>
                <w:szCs w:val="20"/>
              </w:rPr>
            </w:pPr>
          </w:p>
        </w:tc>
        <w:tc>
          <w:tcPr>
            <w:tcW w:w="2409" w:type="dxa"/>
            <w:vMerge/>
            <w:shd w:val="clear" w:color="auto" w:fill="DEEAF6" w:themeFill="accent5" w:themeFillTint="33"/>
          </w:tcPr>
          <w:p w14:paraId="182B527D" w14:textId="77777777" w:rsidR="00EE3A92" w:rsidRPr="00383204" w:rsidRDefault="00EE3A92" w:rsidP="0092365B">
            <w:pPr>
              <w:spacing w:line="240" w:lineRule="auto"/>
              <w:jc w:val="center"/>
              <w:rPr>
                <w:rFonts w:ascii="Montserrat" w:hAnsi="Montserrat"/>
                <w:b/>
                <w:bCs/>
                <w:sz w:val="20"/>
                <w:szCs w:val="20"/>
              </w:rPr>
            </w:pPr>
          </w:p>
        </w:tc>
      </w:tr>
      <w:tr w:rsidR="007B64B3" w:rsidRPr="0092365B" w14:paraId="67FA7836" w14:textId="77777777" w:rsidTr="00804D5E">
        <w:tc>
          <w:tcPr>
            <w:tcW w:w="709" w:type="dxa"/>
          </w:tcPr>
          <w:p w14:paraId="36DDAB0D" w14:textId="0EAAB88F" w:rsidR="007B64B3" w:rsidRPr="0092365B" w:rsidRDefault="00F125CF" w:rsidP="0092365B">
            <w:pPr>
              <w:spacing w:after="0" w:line="240" w:lineRule="auto"/>
              <w:rPr>
                <w:rFonts w:ascii="Montserrat" w:hAnsi="Montserrat"/>
                <w:sz w:val="20"/>
                <w:szCs w:val="20"/>
              </w:rPr>
            </w:pPr>
            <w:r w:rsidRPr="0092365B">
              <w:rPr>
                <w:sz w:val="20"/>
                <w:szCs w:val="20"/>
              </w:rPr>
              <w:br w:type="page"/>
            </w:r>
            <w:r w:rsidR="007B64B3" w:rsidRPr="0092365B">
              <w:rPr>
                <w:rFonts w:ascii="Montserrat" w:hAnsi="Montserrat"/>
                <w:sz w:val="20"/>
                <w:szCs w:val="20"/>
              </w:rPr>
              <w:t>02-II-2020</w:t>
            </w:r>
          </w:p>
        </w:tc>
        <w:tc>
          <w:tcPr>
            <w:tcW w:w="3119" w:type="dxa"/>
          </w:tcPr>
          <w:p w14:paraId="70F7EF15" w14:textId="7123C4D2" w:rsidR="007B64B3" w:rsidRPr="0092365B" w:rsidRDefault="007B64B3" w:rsidP="0092365B">
            <w:pPr>
              <w:spacing w:after="0" w:line="240" w:lineRule="auto"/>
              <w:rPr>
                <w:rFonts w:ascii="Montserrat" w:eastAsia="Batang" w:hAnsi="Montserrat" w:cs="Arial"/>
                <w:color w:val="000000"/>
                <w:kern w:val="18"/>
                <w:sz w:val="20"/>
                <w:szCs w:val="20"/>
                <w:lang w:val="es-ES"/>
              </w:rPr>
            </w:pPr>
            <w:r w:rsidRPr="0092365B">
              <w:rPr>
                <w:rFonts w:ascii="Montserrat" w:eastAsia="Batang" w:hAnsi="Montserrat" w:cs="Arial"/>
                <w:color w:val="000000"/>
                <w:kern w:val="18"/>
                <w:sz w:val="20"/>
                <w:szCs w:val="20"/>
                <w:lang w:val="es-ES"/>
              </w:rPr>
              <w:t>Revisión de los expedientes que se encuentr</w:t>
            </w:r>
            <w:r w:rsidR="004029EA" w:rsidRPr="0092365B">
              <w:rPr>
                <w:rFonts w:ascii="Montserrat" w:eastAsia="Batang" w:hAnsi="Montserrat" w:cs="Arial"/>
                <w:color w:val="000000"/>
                <w:kern w:val="18"/>
                <w:sz w:val="20"/>
                <w:szCs w:val="20"/>
                <w:lang w:val="es-ES"/>
              </w:rPr>
              <w:t>a</w:t>
            </w:r>
            <w:r w:rsidRPr="0092365B">
              <w:rPr>
                <w:rFonts w:ascii="Montserrat" w:eastAsia="Batang" w:hAnsi="Montserrat" w:cs="Arial"/>
                <w:color w:val="000000"/>
                <w:kern w:val="18"/>
                <w:sz w:val="20"/>
                <w:szCs w:val="20"/>
                <w:lang w:val="es-ES"/>
              </w:rPr>
              <w:t>n en el Comité de Ética y de Prevención de Conflictos de Intereses de El Colegio de la Frontera Sur, para que sean debidamente turnados al Órgano Interno de Control cuando cuenten con elementos</w:t>
            </w:r>
          </w:p>
        </w:tc>
        <w:tc>
          <w:tcPr>
            <w:tcW w:w="1559" w:type="dxa"/>
          </w:tcPr>
          <w:p w14:paraId="729BDEE7" w14:textId="1B7DCA1F" w:rsidR="007B64B3" w:rsidRPr="0092365B" w:rsidRDefault="007B64B3" w:rsidP="0092365B">
            <w:pPr>
              <w:spacing w:after="0" w:line="240" w:lineRule="auto"/>
              <w:rPr>
                <w:rFonts w:ascii="Montserrat" w:hAnsi="Montserrat"/>
                <w:sz w:val="20"/>
                <w:szCs w:val="20"/>
              </w:rPr>
            </w:pPr>
            <w:r w:rsidRPr="0092365B">
              <w:rPr>
                <w:rFonts w:ascii="Montserrat" w:hAnsi="Montserrat"/>
                <w:sz w:val="20"/>
                <w:szCs w:val="20"/>
              </w:rPr>
              <w:t>CEPCI</w:t>
            </w:r>
          </w:p>
        </w:tc>
        <w:tc>
          <w:tcPr>
            <w:tcW w:w="3686" w:type="dxa"/>
          </w:tcPr>
          <w:p w14:paraId="5207A87D" w14:textId="77777777" w:rsidR="009930AA" w:rsidRDefault="009930AA" w:rsidP="009930AA">
            <w:pPr>
              <w:spacing w:after="0" w:line="240" w:lineRule="auto"/>
              <w:ind w:right="114"/>
              <w:rPr>
                <w:rFonts w:ascii="Montserrat" w:eastAsia="Candara" w:hAnsi="Montserrat" w:cs="Candara"/>
                <w:sz w:val="20"/>
                <w:szCs w:val="20"/>
              </w:rPr>
            </w:pPr>
            <w:r>
              <w:rPr>
                <w:rFonts w:ascii="Montserrat" w:eastAsia="Candara" w:hAnsi="Montserrat" w:cs="Candara"/>
                <w:sz w:val="20"/>
                <w:szCs w:val="20"/>
              </w:rPr>
              <w:t>El 2 de diciembre de 2020, el CEPCI turnó al OIC una denuncia que recibió a finales de noviembre por “acoso sexual” contra un investigador de la Unidad Chetumal. Esta persona había sido denunciada meses antes por otra estudiante por otra situación.</w:t>
            </w:r>
          </w:p>
          <w:p w14:paraId="0AD7A9B1" w14:textId="77777777" w:rsidR="009930AA" w:rsidRDefault="009930AA" w:rsidP="009930AA">
            <w:pPr>
              <w:spacing w:after="0" w:line="240" w:lineRule="auto"/>
              <w:ind w:right="114"/>
              <w:rPr>
                <w:rFonts w:ascii="Montserrat" w:eastAsia="Candara" w:hAnsi="Montserrat" w:cs="Candara"/>
                <w:sz w:val="20"/>
                <w:szCs w:val="20"/>
              </w:rPr>
            </w:pPr>
          </w:p>
          <w:p w14:paraId="0E959C75" w14:textId="77777777" w:rsidR="009930AA" w:rsidRDefault="009930AA" w:rsidP="009930AA">
            <w:pPr>
              <w:spacing w:after="0" w:line="240" w:lineRule="auto"/>
              <w:ind w:right="114"/>
              <w:rPr>
                <w:rFonts w:ascii="Montserrat" w:eastAsia="Candara" w:hAnsi="Montserrat" w:cs="Candara"/>
                <w:sz w:val="20"/>
                <w:szCs w:val="20"/>
              </w:rPr>
            </w:pPr>
            <w:r>
              <w:rPr>
                <w:rFonts w:ascii="Montserrat" w:eastAsia="Candara" w:hAnsi="Montserrat" w:cs="Candara"/>
                <w:sz w:val="20"/>
                <w:szCs w:val="20"/>
              </w:rPr>
              <w:t>El 20 de enero se turnó al OIC el expediente de un investigador de Cátedras, adscrito a la Unidad Chetumal, quien ha recibido un total de cuatro denuncias en el CEPCI (tres en 2018 y una en 2019).</w:t>
            </w:r>
          </w:p>
          <w:p w14:paraId="60C341DF" w14:textId="09123993" w:rsidR="00F125CF" w:rsidRPr="0092365B" w:rsidRDefault="00F125CF" w:rsidP="0092365B">
            <w:pPr>
              <w:spacing w:after="0" w:line="240" w:lineRule="auto"/>
              <w:ind w:right="114"/>
              <w:rPr>
                <w:rFonts w:ascii="Montserrat" w:eastAsia="Candara" w:hAnsi="Montserrat" w:cs="Candara"/>
                <w:sz w:val="20"/>
                <w:szCs w:val="20"/>
              </w:rPr>
            </w:pPr>
          </w:p>
        </w:tc>
        <w:tc>
          <w:tcPr>
            <w:tcW w:w="1417" w:type="dxa"/>
          </w:tcPr>
          <w:p w14:paraId="3DC2EEE4" w14:textId="34A93758" w:rsidR="007B64B3" w:rsidRPr="0092365B" w:rsidRDefault="009930AA" w:rsidP="009930AA">
            <w:pPr>
              <w:spacing w:after="0" w:line="240" w:lineRule="auto"/>
              <w:jc w:val="center"/>
              <w:rPr>
                <w:rFonts w:ascii="Montserrat" w:hAnsi="Montserrat"/>
                <w:sz w:val="20"/>
                <w:szCs w:val="20"/>
              </w:rPr>
            </w:pPr>
            <w:r>
              <w:rPr>
                <w:rFonts w:ascii="Montserrat" w:hAnsi="Montserrat"/>
                <w:sz w:val="20"/>
                <w:szCs w:val="20"/>
              </w:rPr>
              <w:t>100</w:t>
            </w:r>
            <w:r w:rsidR="00934FA8">
              <w:rPr>
                <w:rFonts w:ascii="Montserrat" w:hAnsi="Montserrat"/>
                <w:sz w:val="20"/>
                <w:szCs w:val="20"/>
              </w:rPr>
              <w:t>%</w:t>
            </w:r>
          </w:p>
        </w:tc>
        <w:tc>
          <w:tcPr>
            <w:tcW w:w="1418" w:type="dxa"/>
          </w:tcPr>
          <w:p w14:paraId="7A53635C" w14:textId="6A7634BD" w:rsidR="007B64B3" w:rsidRPr="0092365B" w:rsidRDefault="009930AA" w:rsidP="0092365B">
            <w:pPr>
              <w:spacing w:after="0" w:line="240" w:lineRule="auto"/>
              <w:rPr>
                <w:rFonts w:ascii="Montserrat" w:hAnsi="Montserrat"/>
                <w:sz w:val="20"/>
                <w:szCs w:val="20"/>
              </w:rPr>
            </w:pPr>
            <w:r>
              <w:rPr>
                <w:rFonts w:ascii="Montserrat" w:hAnsi="Montserrat"/>
                <w:sz w:val="20"/>
                <w:szCs w:val="20"/>
              </w:rPr>
              <w:t>Concluido</w:t>
            </w:r>
          </w:p>
        </w:tc>
        <w:tc>
          <w:tcPr>
            <w:tcW w:w="2409" w:type="dxa"/>
          </w:tcPr>
          <w:p w14:paraId="142538F8" w14:textId="77777777" w:rsidR="009930AA" w:rsidRDefault="009930AA" w:rsidP="009930AA">
            <w:pPr>
              <w:spacing w:after="0" w:line="240" w:lineRule="auto"/>
              <w:rPr>
                <w:rFonts w:ascii="Montserrat" w:eastAsia="Candara" w:hAnsi="Montserrat" w:cs="Candara"/>
                <w:sz w:val="20"/>
                <w:szCs w:val="20"/>
              </w:rPr>
            </w:pPr>
            <w:r>
              <w:rPr>
                <w:rFonts w:ascii="Montserrat" w:eastAsia="Candara" w:hAnsi="Montserrat" w:cs="Candara"/>
                <w:sz w:val="20"/>
                <w:szCs w:val="20"/>
              </w:rPr>
              <w:t>Se podría retrasar la investigación del caso, lo cual tendría efectos negativos sobre la presunta víctima.</w:t>
            </w:r>
          </w:p>
          <w:p w14:paraId="730742C1" w14:textId="77777777" w:rsidR="009930AA" w:rsidRDefault="009930AA" w:rsidP="009930AA">
            <w:pPr>
              <w:spacing w:after="0" w:line="240" w:lineRule="auto"/>
              <w:rPr>
                <w:rFonts w:ascii="Montserrat" w:eastAsia="Candara" w:hAnsi="Montserrat" w:cs="Candara"/>
                <w:sz w:val="20"/>
                <w:szCs w:val="20"/>
              </w:rPr>
            </w:pPr>
          </w:p>
          <w:p w14:paraId="7898DCF2" w14:textId="77777777" w:rsidR="009930AA" w:rsidRDefault="009930AA" w:rsidP="009930AA">
            <w:pPr>
              <w:spacing w:after="0" w:line="240" w:lineRule="auto"/>
              <w:rPr>
                <w:rFonts w:ascii="Montserrat" w:eastAsia="Candara" w:hAnsi="Montserrat" w:cs="Candara"/>
                <w:sz w:val="20"/>
                <w:szCs w:val="20"/>
              </w:rPr>
            </w:pPr>
          </w:p>
          <w:p w14:paraId="1B61336A" w14:textId="77777777" w:rsidR="009930AA" w:rsidRDefault="009930AA" w:rsidP="009930AA">
            <w:pPr>
              <w:spacing w:after="0" w:line="240" w:lineRule="auto"/>
              <w:rPr>
                <w:rFonts w:ascii="Montserrat" w:eastAsia="Candara" w:hAnsi="Montserrat" w:cs="Candara"/>
                <w:sz w:val="20"/>
                <w:szCs w:val="20"/>
              </w:rPr>
            </w:pPr>
          </w:p>
          <w:p w14:paraId="7AFE3AF4" w14:textId="77777777" w:rsidR="009930AA" w:rsidRDefault="009930AA" w:rsidP="009930AA">
            <w:pPr>
              <w:spacing w:after="0" w:line="240" w:lineRule="auto"/>
              <w:rPr>
                <w:rFonts w:ascii="Montserrat" w:eastAsia="Candara" w:hAnsi="Montserrat" w:cs="Candara"/>
                <w:sz w:val="20"/>
                <w:szCs w:val="20"/>
              </w:rPr>
            </w:pPr>
            <w:r>
              <w:rPr>
                <w:rFonts w:ascii="Montserrat" w:eastAsia="Candara" w:hAnsi="Montserrat" w:cs="Candara"/>
                <w:sz w:val="20"/>
                <w:szCs w:val="20"/>
              </w:rPr>
              <w:t>Se perdería la oportunidad de revisar con eficacia si la persona denunciada requiere una sanción administrativa al ser reincidente.</w:t>
            </w:r>
          </w:p>
          <w:p w14:paraId="6C17CC03" w14:textId="54A7E448" w:rsidR="007B64B3" w:rsidRPr="0092365B" w:rsidRDefault="007B64B3" w:rsidP="0092365B">
            <w:pPr>
              <w:spacing w:after="0" w:line="240" w:lineRule="auto"/>
              <w:rPr>
                <w:rFonts w:ascii="Montserrat" w:eastAsia="Candara" w:hAnsi="Montserrat" w:cs="Candara"/>
                <w:sz w:val="20"/>
                <w:szCs w:val="20"/>
              </w:rPr>
            </w:pPr>
          </w:p>
        </w:tc>
      </w:tr>
      <w:tr w:rsidR="001A23D5" w:rsidRPr="00140AA7" w14:paraId="6BBF050B" w14:textId="77777777" w:rsidTr="00804D5E">
        <w:tc>
          <w:tcPr>
            <w:tcW w:w="709" w:type="dxa"/>
          </w:tcPr>
          <w:p w14:paraId="2B477166" w14:textId="30485619" w:rsidR="001A23D5" w:rsidRPr="00140AA7" w:rsidRDefault="001A23D5" w:rsidP="001A23D5">
            <w:pPr>
              <w:spacing w:after="0" w:line="240" w:lineRule="auto"/>
              <w:rPr>
                <w:rFonts w:ascii="Montserrat" w:hAnsi="Montserrat"/>
                <w:sz w:val="20"/>
                <w:szCs w:val="20"/>
              </w:rPr>
            </w:pPr>
            <w:r w:rsidRPr="00140AA7">
              <w:rPr>
                <w:rFonts w:ascii="Montserrat" w:hAnsi="Montserrat"/>
                <w:sz w:val="20"/>
                <w:szCs w:val="20"/>
              </w:rPr>
              <w:lastRenderedPageBreak/>
              <w:t>01-IV-2020</w:t>
            </w:r>
          </w:p>
        </w:tc>
        <w:tc>
          <w:tcPr>
            <w:tcW w:w="3119" w:type="dxa"/>
          </w:tcPr>
          <w:p w14:paraId="6ED61092" w14:textId="3CD0B3D0" w:rsidR="001A23D5" w:rsidRPr="00140AA7" w:rsidRDefault="001A23D5" w:rsidP="001A23D5">
            <w:pPr>
              <w:spacing w:after="0" w:line="240" w:lineRule="auto"/>
              <w:rPr>
                <w:rFonts w:ascii="Montserrat" w:eastAsia="Batang" w:hAnsi="Montserrat" w:cs="Arial"/>
                <w:color w:val="000000"/>
                <w:kern w:val="18"/>
                <w:sz w:val="20"/>
                <w:szCs w:val="20"/>
                <w:lang w:val="es-ES"/>
              </w:rPr>
            </w:pPr>
            <w:r w:rsidRPr="00140AA7">
              <w:rPr>
                <w:rFonts w:ascii="Montserrat" w:eastAsia="Batang" w:hAnsi="Montserrat" w:cs="Arial"/>
                <w:color w:val="000000" w:themeColor="text1"/>
                <w:kern w:val="18"/>
                <w:sz w:val="20"/>
                <w:szCs w:val="20"/>
                <w:lang w:val="es-ES"/>
              </w:rPr>
              <w:t>Seguimiento al proceso de extinción del Fondo de Investigación Científica y Desarrollo Tecnológico de El Colegio de la Frontera Sur” (FID 784) y atender a cabalidad el decreto de extinción emitido el 0</w:t>
            </w:r>
            <w:r>
              <w:rPr>
                <w:rFonts w:ascii="Montserrat" w:eastAsia="Batang" w:hAnsi="Montserrat" w:cs="Arial"/>
                <w:color w:val="000000" w:themeColor="text1"/>
                <w:kern w:val="18"/>
                <w:sz w:val="20"/>
                <w:szCs w:val="20"/>
                <w:lang w:val="es-ES"/>
              </w:rPr>
              <w:t>6</w:t>
            </w:r>
            <w:r w:rsidRPr="00140AA7">
              <w:rPr>
                <w:rFonts w:ascii="Montserrat" w:eastAsia="Batang" w:hAnsi="Montserrat" w:cs="Arial"/>
                <w:color w:val="000000" w:themeColor="text1"/>
                <w:kern w:val="18"/>
                <w:sz w:val="20"/>
                <w:szCs w:val="20"/>
                <w:lang w:val="es-ES"/>
              </w:rPr>
              <w:t xml:space="preserve"> de noviembre de 2020</w:t>
            </w:r>
          </w:p>
        </w:tc>
        <w:tc>
          <w:tcPr>
            <w:tcW w:w="1559" w:type="dxa"/>
          </w:tcPr>
          <w:p w14:paraId="2546ABEC" w14:textId="5ABCF1A0" w:rsidR="001A23D5" w:rsidRPr="00140AA7" w:rsidRDefault="001A23D5" w:rsidP="001A23D5">
            <w:pPr>
              <w:spacing w:after="0" w:line="240" w:lineRule="auto"/>
              <w:rPr>
                <w:rFonts w:ascii="Montserrat" w:hAnsi="Montserrat"/>
                <w:sz w:val="20"/>
                <w:szCs w:val="20"/>
              </w:rPr>
            </w:pPr>
            <w:r w:rsidRPr="00140AA7">
              <w:rPr>
                <w:rFonts w:ascii="Montserrat" w:hAnsi="Montserrat"/>
                <w:sz w:val="20"/>
                <w:szCs w:val="20"/>
              </w:rPr>
              <w:t>Dirección de Administra</w:t>
            </w:r>
            <w:r>
              <w:rPr>
                <w:rFonts w:ascii="Montserrat" w:hAnsi="Montserrat"/>
                <w:sz w:val="20"/>
                <w:szCs w:val="20"/>
              </w:rPr>
              <w:t>-</w:t>
            </w:r>
            <w:proofErr w:type="spellStart"/>
            <w:r w:rsidRPr="00140AA7">
              <w:rPr>
                <w:rFonts w:ascii="Montserrat" w:hAnsi="Montserrat"/>
                <w:sz w:val="20"/>
                <w:szCs w:val="20"/>
              </w:rPr>
              <w:t>ción</w:t>
            </w:r>
            <w:proofErr w:type="spellEnd"/>
          </w:p>
        </w:tc>
        <w:tc>
          <w:tcPr>
            <w:tcW w:w="3686" w:type="dxa"/>
          </w:tcPr>
          <w:p w14:paraId="233E5261" w14:textId="7BD14263" w:rsidR="001A23D5" w:rsidRPr="00140AA7" w:rsidRDefault="001A23D5" w:rsidP="001A23D5">
            <w:pPr>
              <w:spacing w:after="0" w:line="240" w:lineRule="auto"/>
              <w:ind w:right="114"/>
              <w:rPr>
                <w:rFonts w:ascii="Montserrat" w:eastAsia="Candara" w:hAnsi="Montserrat" w:cs="Candara"/>
                <w:sz w:val="20"/>
                <w:szCs w:val="20"/>
              </w:rPr>
            </w:pPr>
            <w:r>
              <w:rPr>
                <w:rFonts w:ascii="Montserrat" w:eastAsia="Batang" w:hAnsi="Montserrat" w:cs="Arial"/>
                <w:color w:val="000000" w:themeColor="text1"/>
                <w:kern w:val="18"/>
                <w:sz w:val="20"/>
                <w:szCs w:val="20"/>
                <w:lang w:val="es-ES"/>
              </w:rPr>
              <w:t xml:space="preserve">Las acciones para atender y dar cumplimiento a cabalidad al decreto de extinción emitido el 06 de noviembre de 2020 se empezarán a realizar durante el mes de marzo; derivado que a la fecha se están atendiendo los compromisos de proyectos en ejecución, los cuales fueron aprobados antes de la publicación del decreto de extinción de los fideicomisos. Estos compromisos están siendo atendidos directamente con los recursos del </w:t>
            </w:r>
            <w:r w:rsidRPr="00140AA7">
              <w:rPr>
                <w:rFonts w:ascii="Montserrat" w:eastAsia="Batang" w:hAnsi="Montserrat" w:cs="Arial"/>
                <w:color w:val="000000" w:themeColor="text1"/>
                <w:kern w:val="18"/>
                <w:sz w:val="20"/>
                <w:szCs w:val="20"/>
                <w:lang w:val="es-ES"/>
              </w:rPr>
              <w:t>Fondo de Investigación Científica y Desarrollo Tecnológico de El Colegio de la Frontera Sur” (FID 784)</w:t>
            </w:r>
            <w:r>
              <w:rPr>
                <w:rFonts w:ascii="Montserrat" w:eastAsia="Batang" w:hAnsi="Montserrat" w:cs="Arial"/>
                <w:color w:val="000000" w:themeColor="text1"/>
                <w:kern w:val="18"/>
                <w:sz w:val="20"/>
                <w:szCs w:val="20"/>
                <w:lang w:val="es-ES"/>
              </w:rPr>
              <w:t xml:space="preserve"> antes de la publicación del decreto de extinción.</w:t>
            </w:r>
          </w:p>
        </w:tc>
        <w:tc>
          <w:tcPr>
            <w:tcW w:w="1417" w:type="dxa"/>
          </w:tcPr>
          <w:p w14:paraId="28EB1E51" w14:textId="7EDF8125" w:rsidR="001A23D5" w:rsidRPr="00140AA7" w:rsidRDefault="001A23D5" w:rsidP="001A23D5">
            <w:pPr>
              <w:spacing w:after="0" w:line="240" w:lineRule="auto"/>
              <w:jc w:val="center"/>
              <w:rPr>
                <w:rFonts w:ascii="Montserrat" w:hAnsi="Montserrat"/>
                <w:sz w:val="20"/>
                <w:szCs w:val="20"/>
              </w:rPr>
            </w:pPr>
            <w:r>
              <w:rPr>
                <w:rFonts w:ascii="Montserrat" w:hAnsi="Montserrat"/>
                <w:sz w:val="20"/>
                <w:szCs w:val="20"/>
              </w:rPr>
              <w:t>Sin avances</w:t>
            </w:r>
          </w:p>
        </w:tc>
        <w:tc>
          <w:tcPr>
            <w:tcW w:w="1418" w:type="dxa"/>
          </w:tcPr>
          <w:p w14:paraId="5EF6E36A" w14:textId="36381DD8" w:rsidR="001A23D5" w:rsidRPr="00140AA7" w:rsidRDefault="001A23D5" w:rsidP="001A23D5">
            <w:pPr>
              <w:spacing w:after="0" w:line="240" w:lineRule="auto"/>
              <w:rPr>
                <w:rFonts w:ascii="Montserrat" w:hAnsi="Montserrat"/>
                <w:sz w:val="20"/>
                <w:szCs w:val="20"/>
              </w:rPr>
            </w:pPr>
            <w:r>
              <w:rPr>
                <w:rFonts w:ascii="Montserrat" w:hAnsi="Montserrat"/>
                <w:sz w:val="20"/>
                <w:szCs w:val="20"/>
              </w:rPr>
              <w:t>30/06/2021</w:t>
            </w:r>
          </w:p>
        </w:tc>
        <w:tc>
          <w:tcPr>
            <w:tcW w:w="2409" w:type="dxa"/>
          </w:tcPr>
          <w:p w14:paraId="407F391E" w14:textId="5BF422FE" w:rsidR="001A23D5" w:rsidRPr="00140AA7" w:rsidRDefault="001A23D5" w:rsidP="001A23D5">
            <w:pPr>
              <w:spacing w:after="0" w:line="240" w:lineRule="auto"/>
              <w:rPr>
                <w:rFonts w:ascii="Montserrat" w:eastAsia="Candara" w:hAnsi="Montserrat" w:cs="Candara"/>
                <w:sz w:val="20"/>
                <w:szCs w:val="20"/>
              </w:rPr>
            </w:pPr>
            <w:r>
              <w:rPr>
                <w:rFonts w:ascii="Montserrat" w:eastAsia="Candara" w:hAnsi="Montserrat" w:cs="Candara"/>
                <w:sz w:val="20"/>
                <w:szCs w:val="20"/>
              </w:rPr>
              <w:t>Ser observado por las instancias administrativas e incurrir en responsabilidades administrativas</w:t>
            </w:r>
          </w:p>
        </w:tc>
      </w:tr>
    </w:tbl>
    <w:p w14:paraId="2B647D8B" w14:textId="77777777" w:rsidR="003B2B76" w:rsidRPr="00A81726" w:rsidRDefault="003B2B76" w:rsidP="0092365B">
      <w:pPr>
        <w:spacing w:line="240" w:lineRule="auto"/>
        <w:rPr>
          <w:rFonts w:ascii="Montserrat" w:hAnsi="Montserrat"/>
        </w:rPr>
      </w:pPr>
    </w:p>
    <w:sectPr w:rsidR="003B2B76" w:rsidRPr="00A81726" w:rsidSect="00804D5E">
      <w:headerReference w:type="default" r:id="rId7"/>
      <w:footerReference w:type="default" r:id="rId8"/>
      <w:pgSz w:w="15840" w:h="12240" w:orient="landscape"/>
      <w:pgMar w:top="1440" w:right="1080" w:bottom="1440" w:left="1080" w:header="708" w:footer="20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AD406" w14:textId="77777777" w:rsidR="00F7234D" w:rsidRDefault="00F7234D" w:rsidP="00EE3A92">
      <w:pPr>
        <w:spacing w:after="0" w:line="240" w:lineRule="auto"/>
      </w:pPr>
      <w:r>
        <w:separator/>
      </w:r>
    </w:p>
  </w:endnote>
  <w:endnote w:type="continuationSeparator" w:id="0">
    <w:p w14:paraId="30F9AFD2" w14:textId="77777777" w:rsidR="00F7234D" w:rsidRDefault="00F7234D" w:rsidP="00EE3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6214649"/>
      <w:docPartObj>
        <w:docPartGallery w:val="Page Numbers (Bottom of Page)"/>
        <w:docPartUnique/>
      </w:docPartObj>
    </w:sdtPr>
    <w:sdtEndPr>
      <w:rPr>
        <w:rFonts w:ascii="Montserrat" w:hAnsi="Montserrat"/>
      </w:rPr>
    </w:sdtEndPr>
    <w:sdtContent>
      <w:p w14:paraId="1AE44AF6" w14:textId="0D9F4374" w:rsidR="00804D5E" w:rsidRDefault="00804D5E">
        <w:pPr>
          <w:pStyle w:val="Piedepgina"/>
          <w:jc w:val="center"/>
        </w:pPr>
        <w:r>
          <w:rPr>
            <w:noProof/>
          </w:rPr>
          <w:drawing>
            <wp:anchor distT="0" distB="0" distL="114300" distR="114300" simplePos="0" relativeHeight="251663360" behindDoc="0" locked="0" layoutInCell="1" allowOverlap="1" wp14:anchorId="7A4C233C" wp14:editId="03841A45">
              <wp:simplePos x="0" y="0"/>
              <wp:positionH relativeFrom="margin">
                <wp:posOffset>-133350</wp:posOffset>
              </wp:positionH>
              <wp:positionV relativeFrom="paragraph">
                <wp:posOffset>67310</wp:posOffset>
              </wp:positionV>
              <wp:extent cx="9105900" cy="1601355"/>
              <wp:effectExtent l="0" t="0" r="0"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9148" cy="1607202"/>
                      </a:xfrm>
                      <a:prstGeom prst="rect">
                        <a:avLst/>
                      </a:prstGeom>
                      <a:noFill/>
                    </pic:spPr>
                  </pic:pic>
                </a:graphicData>
              </a:graphic>
              <wp14:sizeRelH relativeFrom="page">
                <wp14:pctWidth>0</wp14:pctWidth>
              </wp14:sizeRelH>
              <wp14:sizeRelV relativeFrom="page">
                <wp14:pctHeight>0</wp14:pctHeight>
              </wp14:sizeRelV>
            </wp:anchor>
          </w:drawing>
        </w:r>
      </w:p>
      <w:p w14:paraId="093BCD2A" w14:textId="7AFB169B" w:rsidR="0092365B" w:rsidRPr="0092365B" w:rsidRDefault="0092365B">
        <w:pPr>
          <w:pStyle w:val="Piedepgina"/>
          <w:jc w:val="center"/>
          <w:rPr>
            <w:rFonts w:ascii="Montserrat" w:hAnsi="Montserrat"/>
          </w:rPr>
        </w:pPr>
        <w:r w:rsidRPr="0092365B">
          <w:rPr>
            <w:rFonts w:ascii="Montserrat" w:hAnsi="Montserrat"/>
          </w:rPr>
          <w:fldChar w:fldCharType="begin"/>
        </w:r>
        <w:r w:rsidRPr="0092365B">
          <w:rPr>
            <w:rFonts w:ascii="Montserrat" w:hAnsi="Montserrat"/>
          </w:rPr>
          <w:instrText>PAGE   \* MERGEFORMAT</w:instrText>
        </w:r>
        <w:r w:rsidRPr="0092365B">
          <w:rPr>
            <w:rFonts w:ascii="Montserrat" w:hAnsi="Montserrat"/>
          </w:rPr>
          <w:fldChar w:fldCharType="separate"/>
        </w:r>
        <w:r w:rsidRPr="0092365B">
          <w:rPr>
            <w:rFonts w:ascii="Montserrat" w:hAnsi="Montserrat"/>
            <w:lang w:val="es-ES"/>
          </w:rPr>
          <w:t>2</w:t>
        </w:r>
        <w:r w:rsidRPr="0092365B">
          <w:rPr>
            <w:rFonts w:ascii="Montserrat" w:hAnsi="Montserrat"/>
          </w:rPr>
          <w:fldChar w:fldCharType="end"/>
        </w:r>
      </w:p>
    </w:sdtContent>
  </w:sdt>
  <w:p w14:paraId="2444D0AE" w14:textId="66A59D20" w:rsidR="0053196D" w:rsidRDefault="005319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78765" w14:textId="77777777" w:rsidR="00F7234D" w:rsidRDefault="00F7234D" w:rsidP="00EE3A92">
      <w:pPr>
        <w:spacing w:after="0" w:line="240" w:lineRule="auto"/>
      </w:pPr>
      <w:r>
        <w:separator/>
      </w:r>
    </w:p>
  </w:footnote>
  <w:footnote w:type="continuationSeparator" w:id="0">
    <w:p w14:paraId="7C2FC05A" w14:textId="77777777" w:rsidR="00F7234D" w:rsidRDefault="00F7234D" w:rsidP="00EE3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3C0FF" w14:textId="6023E6C9" w:rsidR="00235FD1" w:rsidRPr="00235FD1" w:rsidRDefault="00804D5E" w:rsidP="005F1159">
    <w:pPr>
      <w:spacing w:after="0"/>
      <w:ind w:left="3261" w:right="5175"/>
      <w:jc w:val="center"/>
      <w:rPr>
        <w:rFonts w:ascii="Montserrat" w:hAnsi="Montserrat"/>
        <w:b/>
        <w:bCs/>
      </w:rPr>
    </w:pPr>
    <w:bookmarkStart w:id="0" w:name="_Hlk53674418"/>
    <w:r w:rsidRPr="00235FD1">
      <w:rPr>
        <w:rFonts w:ascii="Montserrat" w:hAnsi="Montserrat"/>
        <w:b/>
        <w:bCs/>
        <w:noProof/>
      </w:rPr>
      <w:drawing>
        <wp:anchor distT="0" distB="0" distL="114300" distR="114300" simplePos="0" relativeHeight="251660288" behindDoc="0" locked="0" layoutInCell="1" allowOverlap="1" wp14:anchorId="1025BF6A" wp14:editId="21766AED">
          <wp:simplePos x="0" y="0"/>
          <wp:positionH relativeFrom="margin">
            <wp:posOffset>6551930</wp:posOffset>
          </wp:positionH>
          <wp:positionV relativeFrom="paragraph">
            <wp:posOffset>82550</wp:posOffset>
          </wp:positionV>
          <wp:extent cx="1222429" cy="376772"/>
          <wp:effectExtent l="0" t="0" r="0" b="4445"/>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2429" cy="376772"/>
                  </a:xfrm>
                  <a:prstGeom prst="rect">
                    <a:avLst/>
                  </a:prstGeom>
                  <a:noFill/>
                </pic:spPr>
              </pic:pic>
            </a:graphicData>
          </a:graphic>
          <wp14:sizeRelH relativeFrom="page">
            <wp14:pctWidth>0</wp14:pctWidth>
          </wp14:sizeRelH>
          <wp14:sizeRelV relativeFrom="page">
            <wp14:pctHeight>0</wp14:pctHeight>
          </wp14:sizeRelV>
        </wp:anchor>
      </w:drawing>
    </w:r>
    <w:r w:rsidRPr="00235FD1">
      <w:rPr>
        <w:rFonts w:ascii="Montserrat" w:hAnsi="Montserrat"/>
        <w:b/>
        <w:bCs/>
        <w:noProof/>
      </w:rPr>
      <w:drawing>
        <wp:anchor distT="0" distB="0" distL="114300" distR="114300" simplePos="0" relativeHeight="251661312" behindDoc="0" locked="0" layoutInCell="1" allowOverlap="1" wp14:anchorId="3FD447A8" wp14:editId="45343B2D">
          <wp:simplePos x="0" y="0"/>
          <wp:positionH relativeFrom="column">
            <wp:posOffset>7964170</wp:posOffset>
          </wp:positionH>
          <wp:positionV relativeFrom="paragraph">
            <wp:posOffset>5715</wp:posOffset>
          </wp:positionV>
          <wp:extent cx="469127" cy="527067"/>
          <wp:effectExtent l="0" t="0" r="7620" b="6350"/>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69127" cy="527067"/>
                  </a:xfrm>
                  <a:prstGeom prst="rect">
                    <a:avLst/>
                  </a:prstGeom>
                  <a:noFill/>
                </pic:spPr>
              </pic:pic>
            </a:graphicData>
          </a:graphic>
          <wp14:sizeRelH relativeFrom="page">
            <wp14:pctWidth>0</wp14:pctWidth>
          </wp14:sizeRelH>
          <wp14:sizeRelV relativeFrom="page">
            <wp14:pctHeight>0</wp14:pctHeight>
          </wp14:sizeRelV>
        </wp:anchor>
      </w:drawing>
    </w:r>
    <w:r w:rsidR="00235FD1" w:rsidRPr="00235FD1">
      <w:rPr>
        <w:rFonts w:ascii="Montserrat" w:hAnsi="Montserrat"/>
        <w:b/>
        <w:bCs/>
        <w:noProof/>
      </w:rPr>
      <w:drawing>
        <wp:anchor distT="0" distB="0" distL="114300" distR="114300" simplePos="0" relativeHeight="251659264" behindDoc="0" locked="0" layoutInCell="1" allowOverlap="1" wp14:anchorId="5655A2FD" wp14:editId="005FA304">
          <wp:simplePos x="0" y="0"/>
          <wp:positionH relativeFrom="margin">
            <wp:posOffset>7620</wp:posOffset>
          </wp:positionH>
          <wp:positionV relativeFrom="paragraph">
            <wp:posOffset>9525</wp:posOffset>
          </wp:positionV>
          <wp:extent cx="1755775" cy="591185"/>
          <wp:effectExtent l="0" t="0" r="0" b="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5775"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Montserrat" w:hAnsi="Montserrat"/>
        <w:b/>
        <w:bCs/>
      </w:rPr>
      <w:t xml:space="preserve">                      </w:t>
    </w:r>
    <w:r w:rsidR="00235FD1" w:rsidRPr="00235FD1">
      <w:rPr>
        <w:rFonts w:ascii="Montserrat" w:hAnsi="Montserrat"/>
        <w:b/>
        <w:bCs/>
      </w:rPr>
      <w:t>Comité de Control y Desempeño Institucional</w:t>
    </w:r>
  </w:p>
  <w:p w14:paraId="6C8FB0EE" w14:textId="7CE9A5FE" w:rsidR="00235FD1" w:rsidRPr="00235FD1" w:rsidRDefault="00804D5E" w:rsidP="005F1159">
    <w:pPr>
      <w:spacing w:after="0"/>
      <w:ind w:left="3261" w:right="5175"/>
      <w:jc w:val="center"/>
      <w:rPr>
        <w:rFonts w:ascii="Montserrat" w:hAnsi="Montserrat"/>
        <w:b/>
        <w:bCs/>
      </w:rPr>
    </w:pPr>
    <w:r>
      <w:rPr>
        <w:rFonts w:ascii="Montserrat" w:hAnsi="Montserrat"/>
        <w:b/>
        <w:bCs/>
      </w:rPr>
      <w:t xml:space="preserve">                             </w:t>
    </w:r>
    <w:r w:rsidR="00235FD1" w:rsidRPr="00235FD1">
      <w:rPr>
        <w:rFonts w:ascii="Montserrat" w:hAnsi="Montserrat"/>
        <w:b/>
        <w:bCs/>
      </w:rPr>
      <w:t>El Colegio de la Frontera Sur</w:t>
    </w:r>
  </w:p>
  <w:p w14:paraId="5F839771" w14:textId="00997983" w:rsidR="00235FD1" w:rsidRPr="00235FD1" w:rsidRDefault="00804D5E" w:rsidP="005F1159">
    <w:pPr>
      <w:spacing w:after="160" w:line="259" w:lineRule="auto"/>
      <w:ind w:left="3261" w:right="5175"/>
      <w:jc w:val="center"/>
      <w:rPr>
        <w:rFonts w:ascii="Montserrat" w:hAnsi="Montserrat"/>
        <w:b/>
        <w:bCs/>
      </w:rPr>
    </w:pPr>
    <w:r>
      <w:rPr>
        <w:rFonts w:ascii="Montserrat" w:hAnsi="Montserrat"/>
        <w:b/>
        <w:bCs/>
      </w:rPr>
      <w:t xml:space="preserve">                          Primer</w:t>
    </w:r>
    <w:r w:rsidR="00235FD1" w:rsidRPr="00235FD1">
      <w:rPr>
        <w:rFonts w:ascii="Montserrat" w:hAnsi="Montserrat"/>
        <w:b/>
        <w:bCs/>
      </w:rPr>
      <w:t>a Sesión Ordinaria 202</w:t>
    </w:r>
    <w:r>
      <w:rPr>
        <w:rFonts w:ascii="Montserrat" w:hAnsi="Montserrat"/>
        <w:b/>
        <w:bCs/>
      </w:rPr>
      <w:t xml:space="preserve">1                               </w:t>
    </w:r>
  </w:p>
  <w:bookmarkEnd w:id="0"/>
  <w:p w14:paraId="0256CD92" w14:textId="2FC956F2" w:rsidR="00EE3A92" w:rsidRDefault="00EE3A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92914"/>
    <w:multiLevelType w:val="hybridMultilevel"/>
    <w:tmpl w:val="1DF237E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AA46D2"/>
    <w:multiLevelType w:val="hybridMultilevel"/>
    <w:tmpl w:val="B3C892BC"/>
    <w:lvl w:ilvl="0" w:tplc="080A000B">
      <w:start w:val="1"/>
      <w:numFmt w:val="bullet"/>
      <w:lvlText w:val=""/>
      <w:lvlJc w:val="left"/>
      <w:pPr>
        <w:ind w:left="825" w:hanging="360"/>
      </w:pPr>
      <w:rPr>
        <w:rFonts w:ascii="Wingdings" w:hAnsi="Wingdings" w:hint="default"/>
      </w:rPr>
    </w:lvl>
    <w:lvl w:ilvl="1" w:tplc="080A0003" w:tentative="1">
      <w:start w:val="1"/>
      <w:numFmt w:val="bullet"/>
      <w:lvlText w:val="o"/>
      <w:lvlJc w:val="left"/>
      <w:pPr>
        <w:ind w:left="1545" w:hanging="360"/>
      </w:pPr>
      <w:rPr>
        <w:rFonts w:ascii="Courier New" w:hAnsi="Courier New" w:cs="Courier New" w:hint="default"/>
      </w:rPr>
    </w:lvl>
    <w:lvl w:ilvl="2" w:tplc="080A0005" w:tentative="1">
      <w:start w:val="1"/>
      <w:numFmt w:val="bullet"/>
      <w:lvlText w:val=""/>
      <w:lvlJc w:val="left"/>
      <w:pPr>
        <w:ind w:left="2265" w:hanging="360"/>
      </w:pPr>
      <w:rPr>
        <w:rFonts w:ascii="Wingdings" w:hAnsi="Wingdings" w:hint="default"/>
      </w:rPr>
    </w:lvl>
    <w:lvl w:ilvl="3" w:tplc="080A0001" w:tentative="1">
      <w:start w:val="1"/>
      <w:numFmt w:val="bullet"/>
      <w:lvlText w:val=""/>
      <w:lvlJc w:val="left"/>
      <w:pPr>
        <w:ind w:left="2985" w:hanging="360"/>
      </w:pPr>
      <w:rPr>
        <w:rFonts w:ascii="Symbol" w:hAnsi="Symbol" w:hint="default"/>
      </w:rPr>
    </w:lvl>
    <w:lvl w:ilvl="4" w:tplc="080A0003" w:tentative="1">
      <w:start w:val="1"/>
      <w:numFmt w:val="bullet"/>
      <w:lvlText w:val="o"/>
      <w:lvlJc w:val="left"/>
      <w:pPr>
        <w:ind w:left="3705" w:hanging="360"/>
      </w:pPr>
      <w:rPr>
        <w:rFonts w:ascii="Courier New" w:hAnsi="Courier New" w:cs="Courier New" w:hint="default"/>
      </w:rPr>
    </w:lvl>
    <w:lvl w:ilvl="5" w:tplc="080A0005" w:tentative="1">
      <w:start w:val="1"/>
      <w:numFmt w:val="bullet"/>
      <w:lvlText w:val=""/>
      <w:lvlJc w:val="left"/>
      <w:pPr>
        <w:ind w:left="4425" w:hanging="360"/>
      </w:pPr>
      <w:rPr>
        <w:rFonts w:ascii="Wingdings" w:hAnsi="Wingdings" w:hint="default"/>
      </w:rPr>
    </w:lvl>
    <w:lvl w:ilvl="6" w:tplc="080A0001" w:tentative="1">
      <w:start w:val="1"/>
      <w:numFmt w:val="bullet"/>
      <w:lvlText w:val=""/>
      <w:lvlJc w:val="left"/>
      <w:pPr>
        <w:ind w:left="5145" w:hanging="360"/>
      </w:pPr>
      <w:rPr>
        <w:rFonts w:ascii="Symbol" w:hAnsi="Symbol" w:hint="default"/>
      </w:rPr>
    </w:lvl>
    <w:lvl w:ilvl="7" w:tplc="080A0003" w:tentative="1">
      <w:start w:val="1"/>
      <w:numFmt w:val="bullet"/>
      <w:lvlText w:val="o"/>
      <w:lvlJc w:val="left"/>
      <w:pPr>
        <w:ind w:left="5865" w:hanging="360"/>
      </w:pPr>
      <w:rPr>
        <w:rFonts w:ascii="Courier New" w:hAnsi="Courier New" w:cs="Courier New" w:hint="default"/>
      </w:rPr>
    </w:lvl>
    <w:lvl w:ilvl="8" w:tplc="080A0005" w:tentative="1">
      <w:start w:val="1"/>
      <w:numFmt w:val="bullet"/>
      <w:lvlText w:val=""/>
      <w:lvlJc w:val="left"/>
      <w:pPr>
        <w:ind w:left="6585" w:hanging="360"/>
      </w:pPr>
      <w:rPr>
        <w:rFonts w:ascii="Wingdings" w:hAnsi="Wingdings" w:hint="default"/>
      </w:rPr>
    </w:lvl>
  </w:abstractNum>
  <w:abstractNum w:abstractNumId="2" w15:restartNumberingAfterBreak="0">
    <w:nsid w:val="31EA091B"/>
    <w:multiLevelType w:val="hybridMultilevel"/>
    <w:tmpl w:val="20360F6E"/>
    <w:lvl w:ilvl="0" w:tplc="3188823E">
      <w:start w:val="3"/>
      <w:numFmt w:val="bullet"/>
      <w:lvlText w:val="-"/>
      <w:lvlJc w:val="left"/>
      <w:pPr>
        <w:ind w:left="720" w:hanging="360"/>
      </w:pPr>
      <w:rPr>
        <w:rFonts w:ascii="Candara" w:eastAsia="Candara" w:hAnsi="Candara" w:cs="Candar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B3E6D6D"/>
    <w:multiLevelType w:val="hybridMultilevel"/>
    <w:tmpl w:val="5F0E2E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16E50B7"/>
    <w:multiLevelType w:val="hybridMultilevel"/>
    <w:tmpl w:val="7DC0B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5D218F1"/>
    <w:multiLevelType w:val="hybridMultilevel"/>
    <w:tmpl w:val="317E3BC0"/>
    <w:lvl w:ilvl="0" w:tplc="90AA49B2">
      <w:start w:val="1"/>
      <w:numFmt w:val="decimal"/>
      <w:lvlText w:val="%1."/>
      <w:lvlJc w:val="left"/>
      <w:pPr>
        <w:ind w:left="1573" w:hanging="360"/>
      </w:pPr>
      <w:rPr>
        <w:b/>
        <w:color w:val="auto"/>
      </w:rPr>
    </w:lvl>
    <w:lvl w:ilvl="1" w:tplc="080A0019" w:tentative="1">
      <w:start w:val="1"/>
      <w:numFmt w:val="lowerLetter"/>
      <w:lvlText w:val="%2."/>
      <w:lvlJc w:val="left"/>
      <w:pPr>
        <w:ind w:left="2249" w:hanging="360"/>
      </w:pPr>
    </w:lvl>
    <w:lvl w:ilvl="2" w:tplc="080A001B" w:tentative="1">
      <w:start w:val="1"/>
      <w:numFmt w:val="lowerRoman"/>
      <w:lvlText w:val="%3."/>
      <w:lvlJc w:val="right"/>
      <w:pPr>
        <w:ind w:left="2969" w:hanging="180"/>
      </w:pPr>
    </w:lvl>
    <w:lvl w:ilvl="3" w:tplc="080A000F" w:tentative="1">
      <w:start w:val="1"/>
      <w:numFmt w:val="decimal"/>
      <w:lvlText w:val="%4."/>
      <w:lvlJc w:val="left"/>
      <w:pPr>
        <w:ind w:left="3689" w:hanging="360"/>
      </w:pPr>
    </w:lvl>
    <w:lvl w:ilvl="4" w:tplc="080A0019" w:tentative="1">
      <w:start w:val="1"/>
      <w:numFmt w:val="lowerLetter"/>
      <w:lvlText w:val="%5."/>
      <w:lvlJc w:val="left"/>
      <w:pPr>
        <w:ind w:left="4409" w:hanging="360"/>
      </w:pPr>
    </w:lvl>
    <w:lvl w:ilvl="5" w:tplc="080A001B" w:tentative="1">
      <w:start w:val="1"/>
      <w:numFmt w:val="lowerRoman"/>
      <w:lvlText w:val="%6."/>
      <w:lvlJc w:val="right"/>
      <w:pPr>
        <w:ind w:left="5129" w:hanging="180"/>
      </w:pPr>
    </w:lvl>
    <w:lvl w:ilvl="6" w:tplc="080A000F" w:tentative="1">
      <w:start w:val="1"/>
      <w:numFmt w:val="decimal"/>
      <w:lvlText w:val="%7."/>
      <w:lvlJc w:val="left"/>
      <w:pPr>
        <w:ind w:left="5849" w:hanging="360"/>
      </w:pPr>
    </w:lvl>
    <w:lvl w:ilvl="7" w:tplc="080A0019" w:tentative="1">
      <w:start w:val="1"/>
      <w:numFmt w:val="lowerLetter"/>
      <w:lvlText w:val="%8."/>
      <w:lvlJc w:val="left"/>
      <w:pPr>
        <w:ind w:left="6569" w:hanging="360"/>
      </w:pPr>
    </w:lvl>
    <w:lvl w:ilvl="8" w:tplc="080A001B" w:tentative="1">
      <w:start w:val="1"/>
      <w:numFmt w:val="lowerRoman"/>
      <w:lvlText w:val="%9."/>
      <w:lvlJc w:val="right"/>
      <w:pPr>
        <w:ind w:left="7289" w:hanging="180"/>
      </w:pPr>
    </w:lvl>
  </w:abstractNum>
  <w:abstractNum w:abstractNumId="6" w15:restartNumberingAfterBreak="0">
    <w:nsid w:val="7B6E70C7"/>
    <w:multiLevelType w:val="hybridMultilevel"/>
    <w:tmpl w:val="A4F26FE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581" w:hanging="360"/>
      </w:pPr>
      <w:rPr>
        <w:rFonts w:ascii="Courier New" w:hAnsi="Courier New" w:cs="Courier New" w:hint="default"/>
      </w:rPr>
    </w:lvl>
    <w:lvl w:ilvl="2" w:tplc="080A0005" w:tentative="1">
      <w:start w:val="1"/>
      <w:numFmt w:val="bullet"/>
      <w:lvlText w:val=""/>
      <w:lvlJc w:val="left"/>
      <w:pPr>
        <w:ind w:left="2301" w:hanging="360"/>
      </w:pPr>
      <w:rPr>
        <w:rFonts w:ascii="Wingdings" w:hAnsi="Wingdings" w:hint="default"/>
      </w:rPr>
    </w:lvl>
    <w:lvl w:ilvl="3" w:tplc="080A0001" w:tentative="1">
      <w:start w:val="1"/>
      <w:numFmt w:val="bullet"/>
      <w:lvlText w:val=""/>
      <w:lvlJc w:val="left"/>
      <w:pPr>
        <w:ind w:left="3021" w:hanging="360"/>
      </w:pPr>
      <w:rPr>
        <w:rFonts w:ascii="Symbol" w:hAnsi="Symbol" w:hint="default"/>
      </w:rPr>
    </w:lvl>
    <w:lvl w:ilvl="4" w:tplc="080A0003" w:tentative="1">
      <w:start w:val="1"/>
      <w:numFmt w:val="bullet"/>
      <w:lvlText w:val="o"/>
      <w:lvlJc w:val="left"/>
      <w:pPr>
        <w:ind w:left="3741" w:hanging="360"/>
      </w:pPr>
      <w:rPr>
        <w:rFonts w:ascii="Courier New" w:hAnsi="Courier New" w:cs="Courier New" w:hint="default"/>
      </w:rPr>
    </w:lvl>
    <w:lvl w:ilvl="5" w:tplc="080A0005" w:tentative="1">
      <w:start w:val="1"/>
      <w:numFmt w:val="bullet"/>
      <w:lvlText w:val=""/>
      <w:lvlJc w:val="left"/>
      <w:pPr>
        <w:ind w:left="4461" w:hanging="360"/>
      </w:pPr>
      <w:rPr>
        <w:rFonts w:ascii="Wingdings" w:hAnsi="Wingdings" w:hint="default"/>
      </w:rPr>
    </w:lvl>
    <w:lvl w:ilvl="6" w:tplc="080A0001" w:tentative="1">
      <w:start w:val="1"/>
      <w:numFmt w:val="bullet"/>
      <w:lvlText w:val=""/>
      <w:lvlJc w:val="left"/>
      <w:pPr>
        <w:ind w:left="5181" w:hanging="360"/>
      </w:pPr>
      <w:rPr>
        <w:rFonts w:ascii="Symbol" w:hAnsi="Symbol" w:hint="default"/>
      </w:rPr>
    </w:lvl>
    <w:lvl w:ilvl="7" w:tplc="080A0003" w:tentative="1">
      <w:start w:val="1"/>
      <w:numFmt w:val="bullet"/>
      <w:lvlText w:val="o"/>
      <w:lvlJc w:val="left"/>
      <w:pPr>
        <w:ind w:left="5901" w:hanging="360"/>
      </w:pPr>
      <w:rPr>
        <w:rFonts w:ascii="Courier New" w:hAnsi="Courier New" w:cs="Courier New" w:hint="default"/>
      </w:rPr>
    </w:lvl>
    <w:lvl w:ilvl="8" w:tplc="080A0005" w:tentative="1">
      <w:start w:val="1"/>
      <w:numFmt w:val="bullet"/>
      <w:lvlText w:val=""/>
      <w:lvlJc w:val="left"/>
      <w:pPr>
        <w:ind w:left="6621"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A92"/>
    <w:rsid w:val="00031B2D"/>
    <w:rsid w:val="000B4455"/>
    <w:rsid w:val="000D5782"/>
    <w:rsid w:val="0010490C"/>
    <w:rsid w:val="00123A4A"/>
    <w:rsid w:val="001257F8"/>
    <w:rsid w:val="00140AA7"/>
    <w:rsid w:val="00150E6B"/>
    <w:rsid w:val="00151542"/>
    <w:rsid w:val="001646C1"/>
    <w:rsid w:val="00165204"/>
    <w:rsid w:val="0018186A"/>
    <w:rsid w:val="001A23D5"/>
    <w:rsid w:val="001C0143"/>
    <w:rsid w:val="001D2B22"/>
    <w:rsid w:val="001E114F"/>
    <w:rsid w:val="001F2EC1"/>
    <w:rsid w:val="00221A96"/>
    <w:rsid w:val="00235FD1"/>
    <w:rsid w:val="00250124"/>
    <w:rsid w:val="00262F2A"/>
    <w:rsid w:val="00285398"/>
    <w:rsid w:val="002B1822"/>
    <w:rsid w:val="002D2E56"/>
    <w:rsid w:val="002E122A"/>
    <w:rsid w:val="002F659E"/>
    <w:rsid w:val="00363768"/>
    <w:rsid w:val="0037260A"/>
    <w:rsid w:val="00383204"/>
    <w:rsid w:val="00395F03"/>
    <w:rsid w:val="003B2B76"/>
    <w:rsid w:val="003B2F18"/>
    <w:rsid w:val="003E4D4F"/>
    <w:rsid w:val="004029EA"/>
    <w:rsid w:val="0041381D"/>
    <w:rsid w:val="00422EE2"/>
    <w:rsid w:val="0046499A"/>
    <w:rsid w:val="004745E4"/>
    <w:rsid w:val="00481A25"/>
    <w:rsid w:val="004A6B85"/>
    <w:rsid w:val="004D2A3D"/>
    <w:rsid w:val="00505A19"/>
    <w:rsid w:val="0053196D"/>
    <w:rsid w:val="005636B7"/>
    <w:rsid w:val="0056789B"/>
    <w:rsid w:val="00593986"/>
    <w:rsid w:val="005B2C6D"/>
    <w:rsid w:val="005D0BB7"/>
    <w:rsid w:val="005E2EBD"/>
    <w:rsid w:val="005F1159"/>
    <w:rsid w:val="00685AD0"/>
    <w:rsid w:val="00694730"/>
    <w:rsid w:val="006C049E"/>
    <w:rsid w:val="006D63FA"/>
    <w:rsid w:val="007038E0"/>
    <w:rsid w:val="00717AAF"/>
    <w:rsid w:val="007559AB"/>
    <w:rsid w:val="007914D9"/>
    <w:rsid w:val="007B64B3"/>
    <w:rsid w:val="007E5723"/>
    <w:rsid w:val="00800F26"/>
    <w:rsid w:val="00804D5E"/>
    <w:rsid w:val="00836CCF"/>
    <w:rsid w:val="0089236C"/>
    <w:rsid w:val="008E781C"/>
    <w:rsid w:val="008F32C5"/>
    <w:rsid w:val="008F6A3B"/>
    <w:rsid w:val="0090240C"/>
    <w:rsid w:val="0092365B"/>
    <w:rsid w:val="00934FA8"/>
    <w:rsid w:val="00966885"/>
    <w:rsid w:val="00974567"/>
    <w:rsid w:val="00977346"/>
    <w:rsid w:val="00977DAF"/>
    <w:rsid w:val="009930AA"/>
    <w:rsid w:val="00993DC9"/>
    <w:rsid w:val="009C083F"/>
    <w:rsid w:val="00A40EB0"/>
    <w:rsid w:val="00A4169E"/>
    <w:rsid w:val="00A644B3"/>
    <w:rsid w:val="00A77AD2"/>
    <w:rsid w:val="00A81726"/>
    <w:rsid w:val="00B049FF"/>
    <w:rsid w:val="00B10E57"/>
    <w:rsid w:val="00BA0A40"/>
    <w:rsid w:val="00BA1640"/>
    <w:rsid w:val="00C0784D"/>
    <w:rsid w:val="00C13EEB"/>
    <w:rsid w:val="00C70AD5"/>
    <w:rsid w:val="00C77F88"/>
    <w:rsid w:val="00C85BC8"/>
    <w:rsid w:val="00CB46FE"/>
    <w:rsid w:val="00CB4FAF"/>
    <w:rsid w:val="00CB7FA2"/>
    <w:rsid w:val="00CD4D1D"/>
    <w:rsid w:val="00D268D4"/>
    <w:rsid w:val="00D344DE"/>
    <w:rsid w:val="00D665FF"/>
    <w:rsid w:val="00D81EB8"/>
    <w:rsid w:val="00D97B84"/>
    <w:rsid w:val="00DA478D"/>
    <w:rsid w:val="00E04F3E"/>
    <w:rsid w:val="00E302D2"/>
    <w:rsid w:val="00E56F70"/>
    <w:rsid w:val="00E6274B"/>
    <w:rsid w:val="00E77226"/>
    <w:rsid w:val="00ED4F5C"/>
    <w:rsid w:val="00EE3A92"/>
    <w:rsid w:val="00F125CF"/>
    <w:rsid w:val="00F327CA"/>
    <w:rsid w:val="00F342A3"/>
    <w:rsid w:val="00F44A5C"/>
    <w:rsid w:val="00F7234D"/>
    <w:rsid w:val="00F96953"/>
    <w:rsid w:val="00FA60ED"/>
    <w:rsid w:val="00FB3102"/>
    <w:rsid w:val="00FD5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0B6C4"/>
  <w15:chartTrackingRefBased/>
  <w15:docId w15:val="{A5597DEE-981F-4209-AC7F-3CDDE72E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A92"/>
    <w:pPr>
      <w:spacing w:after="12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3A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3A92"/>
  </w:style>
  <w:style w:type="paragraph" w:styleId="Piedepgina">
    <w:name w:val="footer"/>
    <w:basedOn w:val="Normal"/>
    <w:link w:val="PiedepginaCar"/>
    <w:uiPriority w:val="99"/>
    <w:unhideWhenUsed/>
    <w:rsid w:val="00EE3A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3A92"/>
  </w:style>
  <w:style w:type="table" w:styleId="Tablaconcuadrcula">
    <w:name w:val="Table Grid"/>
    <w:basedOn w:val="Tablanormal"/>
    <w:uiPriority w:val="39"/>
    <w:rsid w:val="00EE3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240C"/>
    <w:pPr>
      <w:spacing w:after="0" w:line="240" w:lineRule="auto"/>
      <w:ind w:left="720"/>
      <w:contextualSpacing/>
    </w:pPr>
    <w:rPr>
      <w:rFonts w:ascii="Times New Roman" w:eastAsia="Times New Roman" w:hAnsi="Times New Roman" w:cs="Times New Roman"/>
      <w:sz w:val="20"/>
      <w:szCs w:val="20"/>
    </w:rPr>
  </w:style>
  <w:style w:type="character" w:styleId="Hipervnculo">
    <w:name w:val="Hyperlink"/>
    <w:basedOn w:val="Fuentedeprrafopredeter"/>
    <w:uiPriority w:val="99"/>
    <w:unhideWhenUsed/>
    <w:rsid w:val="009024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325</Words>
  <Characters>1790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Claude</dc:creator>
  <cp:keywords/>
  <dc:description/>
  <cp:lastModifiedBy>Marie Claude Brunel Manse</cp:lastModifiedBy>
  <cp:revision>7</cp:revision>
  <cp:lastPrinted>2020-08-06T15:20:00Z</cp:lastPrinted>
  <dcterms:created xsi:type="dcterms:W3CDTF">2021-02-20T22:39:00Z</dcterms:created>
  <dcterms:modified xsi:type="dcterms:W3CDTF">2021-02-21T01:00:00Z</dcterms:modified>
</cp:coreProperties>
</file>