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6618E" w14:textId="35FC9EFC" w:rsidR="004F0CA8" w:rsidRDefault="00080986" w:rsidP="00080986">
      <w:pPr>
        <w:jc w:val="both"/>
        <w:rPr>
          <w:rFonts w:ascii="Montserrat" w:hAnsi="Montserrat"/>
          <w:b/>
          <w:bCs/>
          <w:sz w:val="28"/>
          <w:szCs w:val="28"/>
        </w:rPr>
      </w:pPr>
      <w:r w:rsidRPr="00080986">
        <w:rPr>
          <w:rFonts w:ascii="Montserrat" w:hAnsi="Montserrat"/>
          <w:b/>
          <w:bCs/>
          <w:sz w:val="28"/>
          <w:szCs w:val="28"/>
        </w:rPr>
        <w:t>XIII. Seguimiento al Programa Nacional de Combate a la Corrupción y la Impunidad, y de Mejora de Gestión Pública 2019-2024</w:t>
      </w:r>
    </w:p>
    <w:p w14:paraId="376BEB1C" w14:textId="5CF49786" w:rsidR="00080986" w:rsidRDefault="00080986" w:rsidP="00692ACE">
      <w:pPr>
        <w:spacing w:line="276" w:lineRule="auto"/>
        <w:jc w:val="both"/>
        <w:rPr>
          <w:rFonts w:ascii="Montserrat" w:hAnsi="Montserrat"/>
          <w:color w:val="000000" w:themeColor="text1"/>
        </w:rPr>
      </w:pPr>
      <w:r>
        <w:rPr>
          <w:rFonts w:ascii="Montserrat" w:hAnsi="Montserrat"/>
        </w:rPr>
        <w:t>A parti</w:t>
      </w:r>
      <w:r w:rsidR="00297CC3">
        <w:rPr>
          <w:rFonts w:ascii="Montserrat" w:hAnsi="Montserrat"/>
        </w:rPr>
        <w:t>r</w:t>
      </w:r>
      <w:r>
        <w:rPr>
          <w:rFonts w:ascii="Montserrat" w:hAnsi="Montserrat"/>
        </w:rPr>
        <w:t xml:space="preserve"> de</w:t>
      </w:r>
      <w:r w:rsidR="00297CC3">
        <w:rPr>
          <w:rFonts w:ascii="Montserrat" w:hAnsi="Montserrat"/>
        </w:rPr>
        <w:t xml:space="preserve"> la publicación del </w:t>
      </w:r>
      <w:r w:rsidR="00297CC3" w:rsidRPr="00EE1C3C">
        <w:rPr>
          <w:rFonts w:ascii="Montserrat" w:hAnsi="Montserrat"/>
          <w:i/>
          <w:iCs/>
        </w:rPr>
        <w:t>Programa Nacional de Combate a la Corrupción y a la Impunidad, y de Mejora de la Gestión Pública</w:t>
      </w:r>
      <w:r w:rsidR="0001100C" w:rsidRPr="00EE1C3C">
        <w:rPr>
          <w:rFonts w:ascii="Montserrat" w:hAnsi="Montserrat"/>
          <w:i/>
          <w:iCs/>
        </w:rPr>
        <w:t xml:space="preserve"> 2019-2024</w:t>
      </w:r>
      <w:r w:rsidR="0001100C">
        <w:rPr>
          <w:rFonts w:ascii="Montserrat" w:hAnsi="Montserrat"/>
        </w:rPr>
        <w:t xml:space="preserve">, el 30 de agosto de 2019, se estableció el compromiso para ECOSUR de llevar a cabo 47 acciones: </w:t>
      </w:r>
      <w:r w:rsidR="0001100C" w:rsidRPr="00215368">
        <w:rPr>
          <w:rFonts w:ascii="Montserrat" w:hAnsi="Montserrat"/>
          <w:color w:val="000000" w:themeColor="text1"/>
        </w:rPr>
        <w:t xml:space="preserve">8 del </w:t>
      </w:r>
      <w:r w:rsidR="0001100C">
        <w:rPr>
          <w:rFonts w:ascii="Montserrat" w:hAnsi="Montserrat"/>
          <w:color w:val="000000" w:themeColor="text1"/>
        </w:rPr>
        <w:t>objetivo 1 Combate a</w:t>
      </w:r>
      <w:r w:rsidR="0001100C" w:rsidRPr="00215368">
        <w:rPr>
          <w:rFonts w:ascii="Montserrat" w:hAnsi="Montserrat"/>
          <w:color w:val="000000" w:themeColor="text1"/>
        </w:rPr>
        <w:t xml:space="preserve"> la corrupción; 10 del </w:t>
      </w:r>
      <w:r w:rsidR="0001100C">
        <w:rPr>
          <w:rFonts w:ascii="Montserrat" w:hAnsi="Montserrat"/>
          <w:color w:val="000000" w:themeColor="text1"/>
        </w:rPr>
        <w:t xml:space="preserve">objetivo 2 </w:t>
      </w:r>
      <w:r w:rsidR="00AA2EC8">
        <w:rPr>
          <w:rFonts w:ascii="Montserrat" w:hAnsi="Montserrat"/>
          <w:color w:val="000000" w:themeColor="text1"/>
        </w:rPr>
        <w:t>Combate</w:t>
      </w:r>
      <w:r w:rsidR="0001100C">
        <w:rPr>
          <w:rFonts w:ascii="Montserrat" w:hAnsi="Montserrat"/>
          <w:color w:val="000000" w:themeColor="text1"/>
        </w:rPr>
        <w:t xml:space="preserve"> impunidad</w:t>
      </w:r>
      <w:r w:rsidR="0001100C" w:rsidRPr="00215368">
        <w:rPr>
          <w:rFonts w:ascii="Montserrat" w:hAnsi="Montserrat"/>
          <w:color w:val="000000" w:themeColor="text1"/>
        </w:rPr>
        <w:t xml:space="preserve">; 12 del </w:t>
      </w:r>
      <w:r w:rsidR="0001100C">
        <w:rPr>
          <w:rFonts w:ascii="Montserrat" w:hAnsi="Montserrat"/>
          <w:color w:val="000000" w:themeColor="text1"/>
        </w:rPr>
        <w:t>objetivo 3</w:t>
      </w:r>
      <w:r w:rsidR="0001100C" w:rsidRPr="00215368">
        <w:rPr>
          <w:rFonts w:ascii="Montserrat" w:hAnsi="Montserrat"/>
          <w:color w:val="000000" w:themeColor="text1"/>
        </w:rPr>
        <w:t xml:space="preserve"> </w:t>
      </w:r>
      <w:r w:rsidR="0001100C">
        <w:rPr>
          <w:rFonts w:ascii="Montserrat" w:hAnsi="Montserrat"/>
          <w:color w:val="000000" w:themeColor="text1"/>
        </w:rPr>
        <w:t>M</w:t>
      </w:r>
      <w:r w:rsidR="0001100C" w:rsidRPr="00215368">
        <w:rPr>
          <w:rFonts w:ascii="Montserrat" w:hAnsi="Montserrat"/>
          <w:color w:val="000000" w:themeColor="text1"/>
        </w:rPr>
        <w:t xml:space="preserve">ejora de la gestión pública; 10 del </w:t>
      </w:r>
      <w:r w:rsidR="0001100C">
        <w:rPr>
          <w:rFonts w:ascii="Montserrat" w:hAnsi="Montserrat"/>
          <w:color w:val="000000" w:themeColor="text1"/>
        </w:rPr>
        <w:t>objetivo 4</w:t>
      </w:r>
      <w:r w:rsidR="0001100C" w:rsidRPr="00215368">
        <w:rPr>
          <w:rFonts w:ascii="Montserrat" w:hAnsi="Montserrat"/>
          <w:color w:val="000000" w:themeColor="text1"/>
        </w:rPr>
        <w:t xml:space="preserve"> </w:t>
      </w:r>
      <w:r w:rsidR="0001100C">
        <w:rPr>
          <w:rFonts w:ascii="Montserrat" w:hAnsi="Montserrat"/>
          <w:color w:val="000000" w:themeColor="text1"/>
        </w:rPr>
        <w:t xml:space="preserve">Programa de </w:t>
      </w:r>
      <w:r w:rsidR="0001100C" w:rsidRPr="00215368">
        <w:rPr>
          <w:rFonts w:ascii="Montserrat" w:hAnsi="Montserrat"/>
          <w:color w:val="000000" w:themeColor="text1"/>
        </w:rPr>
        <w:t xml:space="preserve">recursos humanos y 7 del </w:t>
      </w:r>
      <w:r w:rsidR="0001100C">
        <w:rPr>
          <w:rFonts w:ascii="Montserrat" w:hAnsi="Montserrat"/>
          <w:color w:val="000000" w:themeColor="text1"/>
        </w:rPr>
        <w:t>objetivo 5</w:t>
      </w:r>
      <w:r w:rsidR="0001100C" w:rsidRPr="00215368">
        <w:rPr>
          <w:rFonts w:ascii="Montserrat" w:hAnsi="Montserrat"/>
          <w:color w:val="000000" w:themeColor="text1"/>
        </w:rPr>
        <w:t xml:space="preserve"> </w:t>
      </w:r>
      <w:r w:rsidR="0001100C">
        <w:rPr>
          <w:rFonts w:ascii="Montserrat" w:hAnsi="Montserrat"/>
          <w:color w:val="000000" w:themeColor="text1"/>
        </w:rPr>
        <w:t>U</w:t>
      </w:r>
      <w:r w:rsidR="0001100C" w:rsidRPr="00215368">
        <w:rPr>
          <w:rFonts w:ascii="Montserrat" w:hAnsi="Montserrat"/>
          <w:color w:val="000000" w:themeColor="text1"/>
        </w:rPr>
        <w:t xml:space="preserve">so de bienes. Igualmente, </w:t>
      </w:r>
      <w:r w:rsidR="0001100C">
        <w:rPr>
          <w:rFonts w:ascii="Montserrat" w:hAnsi="Montserrat"/>
          <w:color w:val="000000" w:themeColor="text1"/>
        </w:rPr>
        <w:t>se</w:t>
      </w:r>
      <w:r w:rsidR="0001100C" w:rsidRPr="00215368">
        <w:rPr>
          <w:rFonts w:ascii="Montserrat" w:hAnsi="Montserrat"/>
          <w:color w:val="000000" w:themeColor="text1"/>
        </w:rPr>
        <w:t xml:space="preserve"> </w:t>
      </w:r>
      <w:r w:rsidR="002A7F5E">
        <w:rPr>
          <w:rFonts w:ascii="Montserrat" w:hAnsi="Montserrat"/>
          <w:color w:val="000000" w:themeColor="text1"/>
        </w:rPr>
        <w:t>asumen</w:t>
      </w:r>
      <w:r w:rsidR="00692ACE">
        <w:rPr>
          <w:rFonts w:ascii="Montserrat" w:hAnsi="Montserrat"/>
          <w:color w:val="000000" w:themeColor="text1"/>
        </w:rPr>
        <w:t xml:space="preserve"> </w:t>
      </w:r>
      <w:r w:rsidR="0001100C" w:rsidRPr="00215368">
        <w:rPr>
          <w:rFonts w:ascii="Montserrat" w:hAnsi="Montserrat"/>
          <w:color w:val="000000" w:themeColor="text1"/>
        </w:rPr>
        <w:t>1</w:t>
      </w:r>
      <w:r w:rsidR="006068DE">
        <w:rPr>
          <w:rFonts w:ascii="Montserrat" w:hAnsi="Montserrat"/>
          <w:color w:val="000000" w:themeColor="text1"/>
        </w:rPr>
        <w:t>2</w:t>
      </w:r>
      <w:r w:rsidR="0001100C" w:rsidRPr="00215368">
        <w:rPr>
          <w:rFonts w:ascii="Montserrat" w:hAnsi="Montserrat"/>
          <w:color w:val="000000" w:themeColor="text1"/>
        </w:rPr>
        <w:t xml:space="preserve"> indicadores</w:t>
      </w:r>
      <w:r w:rsidR="00F35F78">
        <w:rPr>
          <w:rFonts w:ascii="Montserrat" w:hAnsi="Montserrat"/>
          <w:color w:val="000000" w:themeColor="text1"/>
        </w:rPr>
        <w:t>.</w:t>
      </w:r>
    </w:p>
    <w:p w14:paraId="1C20D460" w14:textId="109EA655" w:rsidR="00D12C48" w:rsidRDefault="00692ACE" w:rsidP="00692ACE">
      <w:pPr>
        <w:spacing w:line="276" w:lineRule="auto"/>
        <w:jc w:val="both"/>
        <w:rPr>
          <w:rFonts w:ascii="Montserrat" w:hAnsi="Montserrat"/>
          <w:color w:val="000000" w:themeColor="text1"/>
        </w:rPr>
      </w:pPr>
      <w:r>
        <w:rPr>
          <w:rFonts w:ascii="Montserrat" w:hAnsi="Montserrat"/>
          <w:color w:val="000000" w:themeColor="text1"/>
        </w:rPr>
        <w:t xml:space="preserve">En la primera quincena de </w:t>
      </w:r>
      <w:r w:rsidR="001A27CE">
        <w:rPr>
          <w:rFonts w:ascii="Montserrat" w:hAnsi="Montserrat"/>
          <w:color w:val="000000" w:themeColor="text1"/>
        </w:rPr>
        <w:t>enero 2021,</w:t>
      </w:r>
      <w:r>
        <w:rPr>
          <w:rFonts w:ascii="Montserrat" w:hAnsi="Montserrat"/>
          <w:color w:val="000000" w:themeColor="text1"/>
        </w:rPr>
        <w:t xml:space="preserve"> </w:t>
      </w:r>
      <w:r w:rsidR="009C5CEA">
        <w:rPr>
          <w:rFonts w:ascii="Montserrat" w:hAnsi="Montserrat"/>
          <w:color w:val="000000" w:themeColor="text1"/>
        </w:rPr>
        <w:t xml:space="preserve">la institución informó </w:t>
      </w:r>
      <w:r w:rsidR="00EE1C3C">
        <w:rPr>
          <w:rFonts w:ascii="Montserrat" w:hAnsi="Montserrat"/>
          <w:color w:val="000000" w:themeColor="text1"/>
        </w:rPr>
        <w:t xml:space="preserve">en tiempo y forma </w:t>
      </w:r>
      <w:r w:rsidR="009C5CEA">
        <w:rPr>
          <w:rFonts w:ascii="Montserrat" w:hAnsi="Montserrat"/>
          <w:color w:val="000000" w:themeColor="text1"/>
        </w:rPr>
        <w:t xml:space="preserve">de </w:t>
      </w:r>
      <w:r>
        <w:rPr>
          <w:rFonts w:ascii="Montserrat" w:hAnsi="Montserrat"/>
          <w:color w:val="000000" w:themeColor="text1"/>
        </w:rPr>
        <w:t xml:space="preserve">los </w:t>
      </w:r>
      <w:r w:rsidR="009C5CEA">
        <w:rPr>
          <w:rFonts w:ascii="Montserrat" w:hAnsi="Montserrat"/>
          <w:color w:val="000000" w:themeColor="text1"/>
        </w:rPr>
        <w:t>avances</w:t>
      </w:r>
      <w:r>
        <w:rPr>
          <w:rFonts w:ascii="Montserrat" w:hAnsi="Montserrat"/>
          <w:color w:val="000000" w:themeColor="text1"/>
        </w:rPr>
        <w:t xml:space="preserve"> </w:t>
      </w:r>
      <w:r w:rsidR="001A27CE">
        <w:rPr>
          <w:rFonts w:ascii="Montserrat" w:hAnsi="Montserrat"/>
          <w:color w:val="000000" w:themeColor="text1"/>
        </w:rPr>
        <w:t>realizadas en el año</w:t>
      </w:r>
      <w:r>
        <w:rPr>
          <w:rFonts w:ascii="Montserrat" w:hAnsi="Montserrat"/>
          <w:color w:val="000000" w:themeColor="text1"/>
        </w:rPr>
        <w:t xml:space="preserve"> 2020</w:t>
      </w:r>
      <w:r w:rsidR="00EE1C3C">
        <w:rPr>
          <w:rFonts w:ascii="Montserrat" w:hAnsi="Montserrat"/>
          <w:color w:val="000000" w:themeColor="text1"/>
        </w:rPr>
        <w:t>,</w:t>
      </w:r>
      <w:r>
        <w:rPr>
          <w:rFonts w:ascii="Montserrat" w:hAnsi="Montserrat"/>
          <w:color w:val="000000" w:themeColor="text1"/>
        </w:rPr>
        <w:t xml:space="preserve"> </w:t>
      </w:r>
      <w:r w:rsidR="009C5CEA">
        <w:rPr>
          <w:rFonts w:ascii="Montserrat" w:hAnsi="Montserrat"/>
          <w:color w:val="000000" w:themeColor="text1"/>
        </w:rPr>
        <w:t>a través</w:t>
      </w:r>
      <w:r>
        <w:rPr>
          <w:rFonts w:ascii="Montserrat" w:hAnsi="Montserrat"/>
          <w:color w:val="000000" w:themeColor="text1"/>
        </w:rPr>
        <w:t xml:space="preserve"> </w:t>
      </w:r>
      <w:r w:rsidR="009C5CEA">
        <w:rPr>
          <w:rFonts w:ascii="Montserrat" w:hAnsi="Montserrat"/>
          <w:color w:val="000000" w:themeColor="text1"/>
        </w:rPr>
        <w:t>d</w:t>
      </w:r>
      <w:r w:rsidRPr="00215368">
        <w:rPr>
          <w:rFonts w:ascii="Montserrat" w:hAnsi="Montserrat"/>
          <w:color w:val="000000" w:themeColor="text1"/>
        </w:rPr>
        <w:t xml:space="preserve">el sistema habilitado en el </w:t>
      </w:r>
      <w:r>
        <w:rPr>
          <w:rFonts w:ascii="Montserrat" w:hAnsi="Montserrat"/>
          <w:color w:val="000000" w:themeColor="text1"/>
        </w:rPr>
        <w:t>P</w:t>
      </w:r>
      <w:r w:rsidRPr="00215368">
        <w:rPr>
          <w:rFonts w:ascii="Montserrat" w:hAnsi="Montserrat"/>
          <w:color w:val="000000" w:themeColor="text1"/>
        </w:rPr>
        <w:t>ortal de Aplicaciones de la SHCP</w:t>
      </w:r>
      <w:r>
        <w:rPr>
          <w:rFonts w:ascii="Montserrat" w:hAnsi="Montserrat"/>
          <w:color w:val="000000" w:themeColor="text1"/>
        </w:rPr>
        <w:t>. Se anexa</w:t>
      </w:r>
      <w:r w:rsidR="002954E7">
        <w:rPr>
          <w:rFonts w:ascii="Montserrat" w:hAnsi="Montserrat"/>
          <w:color w:val="000000" w:themeColor="text1"/>
        </w:rPr>
        <w:t>n</w:t>
      </w:r>
      <w:r>
        <w:rPr>
          <w:rFonts w:ascii="Montserrat" w:hAnsi="Montserrat"/>
          <w:color w:val="000000" w:themeColor="text1"/>
        </w:rPr>
        <w:t xml:space="preserve"> copia</w:t>
      </w:r>
      <w:r w:rsidR="002954E7">
        <w:rPr>
          <w:rFonts w:ascii="Montserrat" w:hAnsi="Montserrat"/>
          <w:color w:val="000000" w:themeColor="text1"/>
        </w:rPr>
        <w:t>s</w:t>
      </w:r>
      <w:r>
        <w:rPr>
          <w:rFonts w:ascii="Montserrat" w:hAnsi="Montserrat"/>
          <w:color w:val="000000" w:themeColor="text1"/>
        </w:rPr>
        <w:t xml:space="preserve"> del reporte</w:t>
      </w:r>
      <w:r w:rsidR="00EE1C3C">
        <w:rPr>
          <w:rFonts w:ascii="Montserrat" w:hAnsi="Montserrat"/>
          <w:color w:val="000000" w:themeColor="text1"/>
        </w:rPr>
        <w:t xml:space="preserve">. </w:t>
      </w:r>
    </w:p>
    <w:p w14:paraId="315FCAB8" w14:textId="16805E9A" w:rsidR="00DD0276" w:rsidRDefault="00DD0276" w:rsidP="00692ACE">
      <w:pPr>
        <w:spacing w:line="276" w:lineRule="auto"/>
        <w:jc w:val="both"/>
        <w:rPr>
          <w:rFonts w:ascii="Montserrat" w:hAnsi="Montserrat"/>
          <w:color w:val="000000" w:themeColor="text1"/>
        </w:rPr>
      </w:pPr>
      <w:r>
        <w:rPr>
          <w:rFonts w:ascii="Montserrat" w:hAnsi="Montserrat"/>
          <w:color w:val="000000" w:themeColor="text1"/>
        </w:rPr>
        <w:t xml:space="preserve">A </w:t>
      </w:r>
      <w:proofErr w:type="gramStart"/>
      <w:r>
        <w:rPr>
          <w:rFonts w:ascii="Montserrat" w:hAnsi="Montserrat"/>
          <w:color w:val="000000" w:themeColor="text1"/>
        </w:rPr>
        <w:t>continuación</w:t>
      </w:r>
      <w:proofErr w:type="gramEnd"/>
      <w:r>
        <w:rPr>
          <w:rFonts w:ascii="Montserrat" w:hAnsi="Montserrat"/>
          <w:color w:val="000000" w:themeColor="text1"/>
        </w:rPr>
        <w:t xml:space="preserve"> se comenta sobre los avances de ECOSUR respecto a este Programa.</w:t>
      </w:r>
    </w:p>
    <w:p w14:paraId="30468A7D" w14:textId="0182BC6D" w:rsidR="00E80501" w:rsidRPr="00EC7DA9" w:rsidRDefault="00E80501" w:rsidP="00E80501">
      <w:pPr>
        <w:spacing w:after="0" w:line="276" w:lineRule="auto"/>
        <w:jc w:val="both"/>
        <w:rPr>
          <w:rFonts w:ascii="Montserrat" w:hAnsi="Montserrat"/>
          <w:color w:val="000000" w:themeColor="text1"/>
          <w:sz w:val="20"/>
          <w:szCs w:val="20"/>
        </w:rPr>
      </w:pPr>
      <w:r w:rsidRPr="00EC7DA9">
        <w:rPr>
          <w:rFonts w:ascii="Montserrat" w:hAnsi="Montserrat"/>
          <w:color w:val="000000" w:themeColor="text1"/>
          <w:sz w:val="20"/>
          <w:szCs w:val="20"/>
        </w:rPr>
        <w:t xml:space="preserve">Tabla 1. Avances en compromisos e indicadores </w:t>
      </w:r>
      <w:r w:rsidR="00760DA4">
        <w:rPr>
          <w:rFonts w:ascii="Montserrat" w:hAnsi="Montserrat"/>
          <w:color w:val="000000" w:themeColor="text1"/>
          <w:sz w:val="20"/>
          <w:szCs w:val="20"/>
        </w:rPr>
        <w:t>a fines de</w:t>
      </w:r>
      <w:r w:rsidRPr="00EC7DA9">
        <w:rPr>
          <w:rFonts w:ascii="Montserrat" w:hAnsi="Montserrat"/>
          <w:color w:val="000000" w:themeColor="text1"/>
          <w:sz w:val="20"/>
          <w:szCs w:val="20"/>
        </w:rPr>
        <w:t xml:space="preserve"> 2020</w:t>
      </w:r>
    </w:p>
    <w:tbl>
      <w:tblPr>
        <w:tblStyle w:val="Tablaconcuadrcula"/>
        <w:tblW w:w="0" w:type="auto"/>
        <w:tblInd w:w="-5" w:type="dxa"/>
        <w:tblLook w:val="04A0" w:firstRow="1" w:lastRow="0" w:firstColumn="1" w:lastColumn="0" w:noHBand="0" w:noVBand="1"/>
      </w:tblPr>
      <w:tblGrid>
        <w:gridCol w:w="1843"/>
        <w:gridCol w:w="1843"/>
        <w:gridCol w:w="1984"/>
        <w:gridCol w:w="1560"/>
        <w:gridCol w:w="1603"/>
      </w:tblGrid>
      <w:tr w:rsidR="00C657EC" w:rsidRPr="00C657EC" w14:paraId="03CA7683" w14:textId="77777777" w:rsidTr="00EC7DA9">
        <w:trPr>
          <w:trHeight w:val="1229"/>
        </w:trPr>
        <w:tc>
          <w:tcPr>
            <w:tcW w:w="1843" w:type="dxa"/>
            <w:tcBorders>
              <w:right w:val="double" w:sz="4" w:space="0" w:color="auto"/>
            </w:tcBorders>
          </w:tcPr>
          <w:p w14:paraId="3A09E451" w14:textId="3D5BC92C" w:rsidR="00C657EC" w:rsidRPr="00C657EC" w:rsidRDefault="00692ACE" w:rsidP="009368CE">
            <w:pPr>
              <w:spacing w:after="0" w:line="276" w:lineRule="auto"/>
              <w:jc w:val="center"/>
              <w:rPr>
                <w:rFonts w:ascii="Montserrat" w:hAnsi="Montserrat"/>
                <w:b/>
                <w:bCs/>
                <w:sz w:val="20"/>
                <w:szCs w:val="20"/>
              </w:rPr>
            </w:pPr>
            <w:r>
              <w:rPr>
                <w:rFonts w:ascii="Montserrat" w:hAnsi="Montserrat"/>
                <w:color w:val="000000" w:themeColor="text1"/>
              </w:rPr>
              <w:t xml:space="preserve"> </w:t>
            </w:r>
            <w:r w:rsidR="00C657EC" w:rsidRPr="00C657EC">
              <w:rPr>
                <w:rFonts w:ascii="Montserrat" w:hAnsi="Montserrat"/>
                <w:b/>
                <w:bCs/>
                <w:sz w:val="20"/>
                <w:szCs w:val="20"/>
              </w:rPr>
              <w:t>Programa</w:t>
            </w:r>
          </w:p>
        </w:tc>
        <w:tc>
          <w:tcPr>
            <w:tcW w:w="1843" w:type="dxa"/>
            <w:tcBorders>
              <w:left w:val="double" w:sz="4" w:space="0" w:color="auto"/>
            </w:tcBorders>
            <w:shd w:val="clear" w:color="auto" w:fill="DEEAF6" w:themeFill="accent5" w:themeFillTint="33"/>
          </w:tcPr>
          <w:p w14:paraId="2888C760" w14:textId="311E3AA3" w:rsidR="00C657EC" w:rsidRPr="00C657EC" w:rsidRDefault="00C657EC" w:rsidP="009368CE">
            <w:pPr>
              <w:spacing w:after="0" w:line="276" w:lineRule="auto"/>
              <w:jc w:val="center"/>
              <w:rPr>
                <w:rFonts w:ascii="Montserrat" w:hAnsi="Montserrat"/>
                <w:b/>
                <w:bCs/>
                <w:sz w:val="20"/>
                <w:szCs w:val="20"/>
              </w:rPr>
            </w:pPr>
            <w:r w:rsidRPr="00C657EC">
              <w:rPr>
                <w:rFonts w:ascii="Montserrat" w:hAnsi="Montserrat"/>
                <w:b/>
                <w:bCs/>
                <w:sz w:val="20"/>
                <w:szCs w:val="20"/>
              </w:rPr>
              <w:t>Compromisos con acciones realizadas</w:t>
            </w:r>
          </w:p>
        </w:tc>
        <w:tc>
          <w:tcPr>
            <w:tcW w:w="1984" w:type="dxa"/>
            <w:tcBorders>
              <w:right w:val="double" w:sz="4" w:space="0" w:color="auto"/>
            </w:tcBorders>
          </w:tcPr>
          <w:p w14:paraId="22558073" w14:textId="735A729B" w:rsidR="00C657EC" w:rsidRPr="00C657EC" w:rsidRDefault="00C657EC" w:rsidP="009368CE">
            <w:pPr>
              <w:spacing w:after="0" w:line="276" w:lineRule="auto"/>
              <w:jc w:val="center"/>
              <w:rPr>
                <w:rFonts w:ascii="Montserrat" w:hAnsi="Montserrat"/>
                <w:b/>
                <w:bCs/>
                <w:sz w:val="20"/>
                <w:szCs w:val="20"/>
              </w:rPr>
            </w:pPr>
            <w:r w:rsidRPr="00C657EC">
              <w:rPr>
                <w:rFonts w:ascii="Montserrat" w:hAnsi="Montserrat"/>
                <w:b/>
                <w:bCs/>
                <w:sz w:val="20"/>
                <w:szCs w:val="20"/>
              </w:rPr>
              <w:t>Compromisos sin avances o no aplicables en el trimestre</w:t>
            </w:r>
          </w:p>
        </w:tc>
        <w:tc>
          <w:tcPr>
            <w:tcW w:w="1560" w:type="dxa"/>
            <w:tcBorders>
              <w:left w:val="double" w:sz="4" w:space="0" w:color="auto"/>
            </w:tcBorders>
            <w:shd w:val="clear" w:color="auto" w:fill="DEEAF6" w:themeFill="accent5" w:themeFillTint="33"/>
          </w:tcPr>
          <w:p w14:paraId="452D75B2" w14:textId="651DC337" w:rsidR="00C657EC" w:rsidRPr="00C657EC" w:rsidRDefault="00C657EC" w:rsidP="009368CE">
            <w:pPr>
              <w:spacing w:after="0" w:line="276" w:lineRule="auto"/>
              <w:jc w:val="center"/>
              <w:rPr>
                <w:rFonts w:ascii="Montserrat" w:hAnsi="Montserrat"/>
                <w:b/>
                <w:bCs/>
                <w:sz w:val="20"/>
                <w:szCs w:val="20"/>
              </w:rPr>
            </w:pPr>
            <w:r w:rsidRPr="00C657EC">
              <w:rPr>
                <w:rFonts w:ascii="Montserrat" w:hAnsi="Montserrat"/>
                <w:b/>
                <w:bCs/>
                <w:sz w:val="20"/>
                <w:szCs w:val="20"/>
              </w:rPr>
              <w:t>Indicador con reporte</w:t>
            </w:r>
          </w:p>
        </w:tc>
        <w:tc>
          <w:tcPr>
            <w:tcW w:w="1603" w:type="dxa"/>
          </w:tcPr>
          <w:p w14:paraId="7C091729" w14:textId="68D12900" w:rsidR="00C657EC" w:rsidRPr="00C657EC" w:rsidRDefault="00C657EC" w:rsidP="009368CE">
            <w:pPr>
              <w:spacing w:after="0" w:line="276" w:lineRule="auto"/>
              <w:jc w:val="center"/>
              <w:rPr>
                <w:rFonts w:ascii="Montserrat" w:hAnsi="Montserrat"/>
                <w:b/>
                <w:bCs/>
                <w:sz w:val="20"/>
                <w:szCs w:val="20"/>
              </w:rPr>
            </w:pPr>
            <w:r w:rsidRPr="00C657EC">
              <w:rPr>
                <w:rFonts w:ascii="Montserrat" w:hAnsi="Montserrat"/>
                <w:b/>
                <w:bCs/>
                <w:sz w:val="20"/>
                <w:szCs w:val="20"/>
              </w:rPr>
              <w:t>Indicador sin información a reportar</w:t>
            </w:r>
          </w:p>
        </w:tc>
      </w:tr>
      <w:tr w:rsidR="00C657EC" w:rsidRPr="00C657EC" w14:paraId="49B109D3" w14:textId="77777777" w:rsidTr="00EC7DA9">
        <w:tc>
          <w:tcPr>
            <w:tcW w:w="1843" w:type="dxa"/>
            <w:tcBorders>
              <w:right w:val="double" w:sz="4" w:space="0" w:color="auto"/>
            </w:tcBorders>
          </w:tcPr>
          <w:p w14:paraId="09312163" w14:textId="190F5356" w:rsidR="00AA2EC8" w:rsidRPr="00C657EC" w:rsidRDefault="00AA2EC8" w:rsidP="009368CE">
            <w:pPr>
              <w:spacing w:after="0" w:line="276" w:lineRule="auto"/>
              <w:jc w:val="both"/>
              <w:rPr>
                <w:rFonts w:ascii="Montserrat" w:hAnsi="Montserrat"/>
                <w:sz w:val="20"/>
                <w:szCs w:val="20"/>
              </w:rPr>
            </w:pPr>
            <w:r>
              <w:rPr>
                <w:rFonts w:ascii="Montserrat" w:hAnsi="Montserrat"/>
                <w:sz w:val="20"/>
                <w:szCs w:val="20"/>
              </w:rPr>
              <w:t>Combate Corrupción (CC)</w:t>
            </w:r>
          </w:p>
        </w:tc>
        <w:tc>
          <w:tcPr>
            <w:tcW w:w="1843" w:type="dxa"/>
            <w:tcBorders>
              <w:left w:val="double" w:sz="4" w:space="0" w:color="auto"/>
            </w:tcBorders>
            <w:shd w:val="clear" w:color="auto" w:fill="DEEAF6" w:themeFill="accent5" w:themeFillTint="33"/>
          </w:tcPr>
          <w:p w14:paraId="3CDA835E" w14:textId="2563F43B" w:rsidR="00C657EC" w:rsidRPr="00C657EC" w:rsidRDefault="00BC58B0" w:rsidP="009368CE">
            <w:pPr>
              <w:spacing w:after="0" w:line="276" w:lineRule="auto"/>
              <w:jc w:val="center"/>
              <w:rPr>
                <w:rFonts w:ascii="Montserrat" w:hAnsi="Montserrat"/>
                <w:sz w:val="20"/>
                <w:szCs w:val="20"/>
              </w:rPr>
            </w:pPr>
            <w:r>
              <w:rPr>
                <w:rFonts w:ascii="Montserrat" w:hAnsi="Montserrat"/>
                <w:sz w:val="20"/>
                <w:szCs w:val="20"/>
              </w:rPr>
              <w:t>6</w:t>
            </w:r>
          </w:p>
        </w:tc>
        <w:tc>
          <w:tcPr>
            <w:tcW w:w="1984" w:type="dxa"/>
            <w:tcBorders>
              <w:right w:val="double" w:sz="4" w:space="0" w:color="auto"/>
            </w:tcBorders>
          </w:tcPr>
          <w:p w14:paraId="25EE9407" w14:textId="5723320E" w:rsidR="00C657EC" w:rsidRPr="00C657EC" w:rsidRDefault="00BC58B0" w:rsidP="009368CE">
            <w:pPr>
              <w:spacing w:after="0" w:line="276" w:lineRule="auto"/>
              <w:jc w:val="center"/>
              <w:rPr>
                <w:rFonts w:ascii="Montserrat" w:hAnsi="Montserrat"/>
                <w:sz w:val="20"/>
                <w:szCs w:val="20"/>
              </w:rPr>
            </w:pPr>
            <w:r>
              <w:rPr>
                <w:rFonts w:ascii="Montserrat" w:hAnsi="Montserrat"/>
                <w:sz w:val="20"/>
                <w:szCs w:val="20"/>
              </w:rPr>
              <w:t>2</w:t>
            </w:r>
          </w:p>
        </w:tc>
        <w:tc>
          <w:tcPr>
            <w:tcW w:w="1560" w:type="dxa"/>
            <w:tcBorders>
              <w:left w:val="double" w:sz="4" w:space="0" w:color="auto"/>
            </w:tcBorders>
            <w:shd w:val="clear" w:color="auto" w:fill="DEEAF6" w:themeFill="accent5" w:themeFillTint="33"/>
          </w:tcPr>
          <w:p w14:paraId="4CB19314" w14:textId="4BA62C3E" w:rsidR="00C657EC" w:rsidRPr="00C657EC" w:rsidRDefault="00730B9B" w:rsidP="009368CE">
            <w:pPr>
              <w:spacing w:after="0" w:line="276" w:lineRule="auto"/>
              <w:jc w:val="center"/>
              <w:rPr>
                <w:rFonts w:ascii="Montserrat" w:hAnsi="Montserrat"/>
                <w:sz w:val="20"/>
                <w:szCs w:val="20"/>
              </w:rPr>
            </w:pPr>
            <w:r>
              <w:rPr>
                <w:rFonts w:ascii="Montserrat" w:hAnsi="Montserrat"/>
                <w:sz w:val="20"/>
                <w:szCs w:val="20"/>
              </w:rPr>
              <w:t>0</w:t>
            </w:r>
          </w:p>
        </w:tc>
        <w:tc>
          <w:tcPr>
            <w:tcW w:w="1603" w:type="dxa"/>
          </w:tcPr>
          <w:p w14:paraId="53644B7E" w14:textId="23DF9C8B" w:rsidR="00C657EC" w:rsidRPr="00C657EC" w:rsidRDefault="00730B9B" w:rsidP="009368CE">
            <w:pPr>
              <w:spacing w:after="0" w:line="276" w:lineRule="auto"/>
              <w:jc w:val="center"/>
              <w:rPr>
                <w:rFonts w:ascii="Montserrat" w:hAnsi="Montserrat"/>
                <w:sz w:val="20"/>
                <w:szCs w:val="20"/>
              </w:rPr>
            </w:pPr>
            <w:r>
              <w:rPr>
                <w:rFonts w:ascii="Montserrat" w:hAnsi="Montserrat"/>
                <w:sz w:val="20"/>
                <w:szCs w:val="20"/>
              </w:rPr>
              <w:t>2</w:t>
            </w:r>
          </w:p>
        </w:tc>
      </w:tr>
      <w:tr w:rsidR="00C657EC" w:rsidRPr="00C657EC" w14:paraId="12C070EF" w14:textId="77777777" w:rsidTr="00EC7DA9">
        <w:tc>
          <w:tcPr>
            <w:tcW w:w="1843" w:type="dxa"/>
            <w:tcBorders>
              <w:right w:val="double" w:sz="4" w:space="0" w:color="auto"/>
            </w:tcBorders>
          </w:tcPr>
          <w:p w14:paraId="27D2B075" w14:textId="24BF9288" w:rsidR="00C657EC" w:rsidRPr="00C657EC" w:rsidRDefault="00AA2EC8" w:rsidP="009368CE">
            <w:pPr>
              <w:spacing w:after="0" w:line="276" w:lineRule="auto"/>
              <w:jc w:val="both"/>
              <w:rPr>
                <w:rFonts w:ascii="Montserrat" w:hAnsi="Montserrat"/>
                <w:sz w:val="20"/>
                <w:szCs w:val="20"/>
              </w:rPr>
            </w:pPr>
            <w:r>
              <w:rPr>
                <w:rFonts w:ascii="Montserrat" w:hAnsi="Montserrat"/>
                <w:sz w:val="20"/>
                <w:szCs w:val="20"/>
              </w:rPr>
              <w:t>Combate Impunidad (CI)</w:t>
            </w:r>
          </w:p>
        </w:tc>
        <w:tc>
          <w:tcPr>
            <w:tcW w:w="1843" w:type="dxa"/>
            <w:tcBorders>
              <w:left w:val="double" w:sz="4" w:space="0" w:color="auto"/>
            </w:tcBorders>
            <w:shd w:val="clear" w:color="auto" w:fill="DEEAF6" w:themeFill="accent5" w:themeFillTint="33"/>
          </w:tcPr>
          <w:p w14:paraId="58C832F2" w14:textId="6088CE8E" w:rsidR="00C657EC" w:rsidRPr="00C657EC" w:rsidRDefault="00BC58B0" w:rsidP="009368CE">
            <w:pPr>
              <w:spacing w:after="0" w:line="276" w:lineRule="auto"/>
              <w:jc w:val="center"/>
              <w:rPr>
                <w:rFonts w:ascii="Montserrat" w:hAnsi="Montserrat"/>
                <w:sz w:val="20"/>
                <w:szCs w:val="20"/>
              </w:rPr>
            </w:pPr>
            <w:r>
              <w:rPr>
                <w:rFonts w:ascii="Montserrat" w:hAnsi="Montserrat"/>
                <w:sz w:val="20"/>
                <w:szCs w:val="20"/>
              </w:rPr>
              <w:t>7</w:t>
            </w:r>
          </w:p>
        </w:tc>
        <w:tc>
          <w:tcPr>
            <w:tcW w:w="1984" w:type="dxa"/>
            <w:tcBorders>
              <w:right w:val="double" w:sz="4" w:space="0" w:color="auto"/>
            </w:tcBorders>
          </w:tcPr>
          <w:p w14:paraId="135761D5" w14:textId="0783C445" w:rsidR="00C657EC" w:rsidRPr="00C657EC" w:rsidRDefault="00BC58B0" w:rsidP="009368CE">
            <w:pPr>
              <w:spacing w:after="0" w:line="276" w:lineRule="auto"/>
              <w:jc w:val="center"/>
              <w:rPr>
                <w:rFonts w:ascii="Montserrat" w:hAnsi="Montserrat"/>
                <w:sz w:val="20"/>
                <w:szCs w:val="20"/>
              </w:rPr>
            </w:pPr>
            <w:r>
              <w:rPr>
                <w:rFonts w:ascii="Montserrat" w:hAnsi="Montserrat"/>
                <w:sz w:val="20"/>
                <w:szCs w:val="20"/>
              </w:rPr>
              <w:t>3</w:t>
            </w:r>
          </w:p>
        </w:tc>
        <w:tc>
          <w:tcPr>
            <w:tcW w:w="1560" w:type="dxa"/>
            <w:tcBorders>
              <w:left w:val="double" w:sz="4" w:space="0" w:color="auto"/>
            </w:tcBorders>
            <w:shd w:val="clear" w:color="auto" w:fill="DEEAF6" w:themeFill="accent5" w:themeFillTint="33"/>
          </w:tcPr>
          <w:p w14:paraId="1A50DBC8" w14:textId="16D1A29C" w:rsidR="00C657EC" w:rsidRPr="00C657EC" w:rsidRDefault="00801B46" w:rsidP="009368CE">
            <w:pPr>
              <w:spacing w:after="0" w:line="276" w:lineRule="auto"/>
              <w:jc w:val="center"/>
              <w:rPr>
                <w:rFonts w:ascii="Montserrat" w:hAnsi="Montserrat"/>
                <w:sz w:val="20"/>
                <w:szCs w:val="20"/>
              </w:rPr>
            </w:pPr>
            <w:r>
              <w:rPr>
                <w:rFonts w:ascii="Montserrat" w:hAnsi="Montserrat"/>
                <w:sz w:val="20"/>
                <w:szCs w:val="20"/>
              </w:rPr>
              <w:t>1</w:t>
            </w:r>
          </w:p>
        </w:tc>
        <w:tc>
          <w:tcPr>
            <w:tcW w:w="1603" w:type="dxa"/>
          </w:tcPr>
          <w:p w14:paraId="2B0C525D" w14:textId="5E77C390" w:rsidR="00C657EC" w:rsidRPr="00C657EC" w:rsidRDefault="00801B46" w:rsidP="009368CE">
            <w:pPr>
              <w:spacing w:after="0" w:line="276" w:lineRule="auto"/>
              <w:jc w:val="center"/>
              <w:rPr>
                <w:rFonts w:ascii="Montserrat" w:hAnsi="Montserrat"/>
                <w:sz w:val="20"/>
                <w:szCs w:val="20"/>
              </w:rPr>
            </w:pPr>
            <w:r>
              <w:rPr>
                <w:rFonts w:ascii="Montserrat" w:hAnsi="Montserrat"/>
                <w:sz w:val="20"/>
                <w:szCs w:val="20"/>
              </w:rPr>
              <w:t>2</w:t>
            </w:r>
          </w:p>
        </w:tc>
      </w:tr>
      <w:tr w:rsidR="00C657EC" w:rsidRPr="00C657EC" w14:paraId="16C48BC4" w14:textId="77777777" w:rsidTr="00EC7DA9">
        <w:tc>
          <w:tcPr>
            <w:tcW w:w="1843" w:type="dxa"/>
            <w:tcBorders>
              <w:right w:val="double" w:sz="4" w:space="0" w:color="auto"/>
            </w:tcBorders>
          </w:tcPr>
          <w:p w14:paraId="7BB94EAC" w14:textId="78394DC6" w:rsidR="00C657EC" w:rsidRPr="00C657EC" w:rsidRDefault="00AA2EC8" w:rsidP="009368CE">
            <w:pPr>
              <w:spacing w:after="0" w:line="276" w:lineRule="auto"/>
              <w:rPr>
                <w:rFonts w:ascii="Montserrat" w:hAnsi="Montserrat"/>
                <w:sz w:val="20"/>
                <w:szCs w:val="20"/>
              </w:rPr>
            </w:pPr>
            <w:r>
              <w:rPr>
                <w:rFonts w:ascii="Montserrat" w:hAnsi="Montserrat"/>
                <w:sz w:val="20"/>
                <w:szCs w:val="20"/>
              </w:rPr>
              <w:t>Mejora Gestión Pública</w:t>
            </w:r>
            <w:r w:rsidR="0081492E">
              <w:rPr>
                <w:rFonts w:ascii="Montserrat" w:hAnsi="Montserrat"/>
                <w:sz w:val="20"/>
                <w:szCs w:val="20"/>
              </w:rPr>
              <w:t xml:space="preserve"> (MGP)</w:t>
            </w:r>
          </w:p>
        </w:tc>
        <w:tc>
          <w:tcPr>
            <w:tcW w:w="1843" w:type="dxa"/>
            <w:tcBorders>
              <w:left w:val="double" w:sz="4" w:space="0" w:color="auto"/>
            </w:tcBorders>
            <w:shd w:val="clear" w:color="auto" w:fill="DEEAF6" w:themeFill="accent5" w:themeFillTint="33"/>
          </w:tcPr>
          <w:p w14:paraId="0F0C1220" w14:textId="571618D3" w:rsidR="00C657EC" w:rsidRPr="00C657EC" w:rsidRDefault="00AA2EC8" w:rsidP="009368CE">
            <w:pPr>
              <w:spacing w:after="0" w:line="276" w:lineRule="auto"/>
              <w:jc w:val="center"/>
              <w:rPr>
                <w:rFonts w:ascii="Montserrat" w:hAnsi="Montserrat"/>
                <w:sz w:val="20"/>
                <w:szCs w:val="20"/>
              </w:rPr>
            </w:pPr>
            <w:r>
              <w:rPr>
                <w:rFonts w:ascii="Montserrat" w:hAnsi="Montserrat"/>
                <w:sz w:val="20"/>
                <w:szCs w:val="20"/>
              </w:rPr>
              <w:t>1</w:t>
            </w:r>
            <w:r w:rsidR="00A52A8E">
              <w:rPr>
                <w:rFonts w:ascii="Montserrat" w:hAnsi="Montserrat"/>
                <w:sz w:val="20"/>
                <w:szCs w:val="20"/>
              </w:rPr>
              <w:t>2</w:t>
            </w:r>
          </w:p>
        </w:tc>
        <w:tc>
          <w:tcPr>
            <w:tcW w:w="1984" w:type="dxa"/>
            <w:tcBorders>
              <w:right w:val="double" w:sz="4" w:space="0" w:color="auto"/>
            </w:tcBorders>
          </w:tcPr>
          <w:p w14:paraId="5D200FFE" w14:textId="2FC899AD" w:rsidR="00C657EC" w:rsidRPr="00C657EC" w:rsidRDefault="00A52A8E" w:rsidP="009368CE">
            <w:pPr>
              <w:spacing w:after="0" w:line="276" w:lineRule="auto"/>
              <w:jc w:val="center"/>
              <w:rPr>
                <w:rFonts w:ascii="Montserrat" w:hAnsi="Montserrat"/>
                <w:sz w:val="20"/>
                <w:szCs w:val="20"/>
              </w:rPr>
            </w:pPr>
            <w:r>
              <w:rPr>
                <w:rFonts w:ascii="Montserrat" w:hAnsi="Montserrat"/>
                <w:sz w:val="20"/>
                <w:szCs w:val="20"/>
              </w:rPr>
              <w:t>0</w:t>
            </w:r>
          </w:p>
        </w:tc>
        <w:tc>
          <w:tcPr>
            <w:tcW w:w="1560" w:type="dxa"/>
            <w:tcBorders>
              <w:left w:val="double" w:sz="4" w:space="0" w:color="auto"/>
            </w:tcBorders>
            <w:shd w:val="clear" w:color="auto" w:fill="DEEAF6" w:themeFill="accent5" w:themeFillTint="33"/>
          </w:tcPr>
          <w:p w14:paraId="32127038" w14:textId="29042287" w:rsidR="00C657EC" w:rsidRPr="00C657EC" w:rsidRDefault="00801B46" w:rsidP="009368CE">
            <w:pPr>
              <w:spacing w:after="0" w:line="276" w:lineRule="auto"/>
              <w:jc w:val="center"/>
              <w:rPr>
                <w:rFonts w:ascii="Montserrat" w:hAnsi="Montserrat"/>
                <w:sz w:val="20"/>
                <w:szCs w:val="20"/>
              </w:rPr>
            </w:pPr>
            <w:r>
              <w:rPr>
                <w:rFonts w:ascii="Montserrat" w:hAnsi="Montserrat"/>
                <w:sz w:val="20"/>
                <w:szCs w:val="20"/>
              </w:rPr>
              <w:t>1</w:t>
            </w:r>
          </w:p>
        </w:tc>
        <w:tc>
          <w:tcPr>
            <w:tcW w:w="1603" w:type="dxa"/>
          </w:tcPr>
          <w:p w14:paraId="0867F23C" w14:textId="7D52F37B" w:rsidR="00C657EC" w:rsidRPr="00C657EC" w:rsidRDefault="00801B46" w:rsidP="009368CE">
            <w:pPr>
              <w:spacing w:after="0" w:line="276" w:lineRule="auto"/>
              <w:jc w:val="center"/>
              <w:rPr>
                <w:rFonts w:ascii="Montserrat" w:hAnsi="Montserrat"/>
                <w:sz w:val="20"/>
                <w:szCs w:val="20"/>
              </w:rPr>
            </w:pPr>
            <w:r>
              <w:rPr>
                <w:rFonts w:ascii="Montserrat" w:hAnsi="Montserrat"/>
                <w:sz w:val="20"/>
                <w:szCs w:val="20"/>
              </w:rPr>
              <w:t>1</w:t>
            </w:r>
          </w:p>
        </w:tc>
      </w:tr>
      <w:tr w:rsidR="00C657EC" w:rsidRPr="00C657EC" w14:paraId="10C5B21D" w14:textId="77777777" w:rsidTr="00EC7DA9">
        <w:tc>
          <w:tcPr>
            <w:tcW w:w="1843" w:type="dxa"/>
            <w:tcBorders>
              <w:right w:val="double" w:sz="4" w:space="0" w:color="auto"/>
            </w:tcBorders>
          </w:tcPr>
          <w:p w14:paraId="0D3298E0" w14:textId="74A94AC4" w:rsidR="00C657EC" w:rsidRPr="00C657EC" w:rsidRDefault="00AA2EC8" w:rsidP="009368CE">
            <w:pPr>
              <w:spacing w:after="0" w:line="276" w:lineRule="auto"/>
              <w:jc w:val="both"/>
              <w:rPr>
                <w:rFonts w:ascii="Montserrat" w:hAnsi="Montserrat"/>
                <w:sz w:val="20"/>
                <w:szCs w:val="20"/>
              </w:rPr>
            </w:pPr>
            <w:r>
              <w:rPr>
                <w:rFonts w:ascii="Montserrat" w:hAnsi="Montserrat"/>
                <w:sz w:val="20"/>
                <w:szCs w:val="20"/>
              </w:rPr>
              <w:t>Recursos Humanos (PRH)</w:t>
            </w:r>
          </w:p>
        </w:tc>
        <w:tc>
          <w:tcPr>
            <w:tcW w:w="1843" w:type="dxa"/>
            <w:tcBorders>
              <w:left w:val="double" w:sz="4" w:space="0" w:color="auto"/>
            </w:tcBorders>
            <w:shd w:val="clear" w:color="auto" w:fill="DEEAF6" w:themeFill="accent5" w:themeFillTint="33"/>
          </w:tcPr>
          <w:p w14:paraId="691F8577" w14:textId="5756CC95" w:rsidR="00C657EC" w:rsidRPr="00C657EC" w:rsidRDefault="00A52A8E" w:rsidP="009368CE">
            <w:pPr>
              <w:spacing w:after="0" w:line="276" w:lineRule="auto"/>
              <w:jc w:val="center"/>
              <w:rPr>
                <w:rFonts w:ascii="Montserrat" w:hAnsi="Montserrat"/>
                <w:sz w:val="20"/>
                <w:szCs w:val="20"/>
              </w:rPr>
            </w:pPr>
            <w:r>
              <w:rPr>
                <w:rFonts w:ascii="Montserrat" w:hAnsi="Montserrat"/>
                <w:sz w:val="20"/>
                <w:szCs w:val="20"/>
              </w:rPr>
              <w:t>8</w:t>
            </w:r>
          </w:p>
        </w:tc>
        <w:tc>
          <w:tcPr>
            <w:tcW w:w="1984" w:type="dxa"/>
            <w:tcBorders>
              <w:right w:val="double" w:sz="4" w:space="0" w:color="auto"/>
            </w:tcBorders>
          </w:tcPr>
          <w:p w14:paraId="795019FE" w14:textId="7A02CF8D" w:rsidR="00C657EC" w:rsidRPr="00C657EC" w:rsidRDefault="00A52A8E" w:rsidP="009368CE">
            <w:pPr>
              <w:spacing w:after="0" w:line="276" w:lineRule="auto"/>
              <w:jc w:val="center"/>
              <w:rPr>
                <w:rFonts w:ascii="Montserrat" w:hAnsi="Montserrat"/>
                <w:sz w:val="20"/>
                <w:szCs w:val="20"/>
              </w:rPr>
            </w:pPr>
            <w:r>
              <w:rPr>
                <w:rFonts w:ascii="Montserrat" w:hAnsi="Montserrat"/>
                <w:sz w:val="20"/>
                <w:szCs w:val="20"/>
              </w:rPr>
              <w:t>2</w:t>
            </w:r>
          </w:p>
        </w:tc>
        <w:tc>
          <w:tcPr>
            <w:tcW w:w="1560" w:type="dxa"/>
            <w:tcBorders>
              <w:left w:val="double" w:sz="4" w:space="0" w:color="auto"/>
            </w:tcBorders>
            <w:shd w:val="clear" w:color="auto" w:fill="DEEAF6" w:themeFill="accent5" w:themeFillTint="33"/>
          </w:tcPr>
          <w:p w14:paraId="11021778" w14:textId="4627D0EF" w:rsidR="00C657EC" w:rsidRPr="00C657EC" w:rsidRDefault="006068DE" w:rsidP="009368CE">
            <w:pPr>
              <w:spacing w:after="0" w:line="276" w:lineRule="auto"/>
              <w:jc w:val="center"/>
              <w:rPr>
                <w:rFonts w:ascii="Montserrat" w:hAnsi="Montserrat"/>
                <w:sz w:val="20"/>
                <w:szCs w:val="20"/>
              </w:rPr>
            </w:pPr>
            <w:r>
              <w:rPr>
                <w:rFonts w:ascii="Montserrat" w:hAnsi="Montserrat"/>
                <w:sz w:val="20"/>
                <w:szCs w:val="20"/>
              </w:rPr>
              <w:t>2</w:t>
            </w:r>
          </w:p>
        </w:tc>
        <w:tc>
          <w:tcPr>
            <w:tcW w:w="1603" w:type="dxa"/>
          </w:tcPr>
          <w:p w14:paraId="184B032E" w14:textId="5F38998C" w:rsidR="00C657EC" w:rsidRPr="00C657EC" w:rsidRDefault="006068DE" w:rsidP="009368CE">
            <w:pPr>
              <w:spacing w:after="0" w:line="276" w:lineRule="auto"/>
              <w:jc w:val="center"/>
              <w:rPr>
                <w:rFonts w:ascii="Montserrat" w:hAnsi="Montserrat"/>
                <w:sz w:val="20"/>
                <w:szCs w:val="20"/>
              </w:rPr>
            </w:pPr>
            <w:r>
              <w:rPr>
                <w:rFonts w:ascii="Montserrat" w:hAnsi="Montserrat"/>
                <w:sz w:val="20"/>
                <w:szCs w:val="20"/>
              </w:rPr>
              <w:t>1</w:t>
            </w:r>
          </w:p>
        </w:tc>
      </w:tr>
      <w:tr w:rsidR="00201A51" w:rsidRPr="00C657EC" w14:paraId="58E4F1F3" w14:textId="77777777" w:rsidTr="00EC7DA9">
        <w:tc>
          <w:tcPr>
            <w:tcW w:w="1843" w:type="dxa"/>
            <w:tcBorders>
              <w:bottom w:val="double" w:sz="4" w:space="0" w:color="auto"/>
              <w:right w:val="double" w:sz="4" w:space="0" w:color="auto"/>
            </w:tcBorders>
          </w:tcPr>
          <w:p w14:paraId="4CD6FAF7" w14:textId="16ADDACB" w:rsidR="00201A51" w:rsidRPr="00C657EC" w:rsidRDefault="00AA2EC8" w:rsidP="009368CE">
            <w:pPr>
              <w:spacing w:after="0" w:line="276" w:lineRule="auto"/>
              <w:jc w:val="both"/>
              <w:rPr>
                <w:rFonts w:ascii="Montserrat" w:hAnsi="Montserrat"/>
                <w:sz w:val="20"/>
                <w:szCs w:val="20"/>
              </w:rPr>
            </w:pPr>
            <w:r>
              <w:rPr>
                <w:rFonts w:ascii="Montserrat" w:hAnsi="Montserrat"/>
                <w:sz w:val="20"/>
                <w:szCs w:val="20"/>
              </w:rPr>
              <w:t>Uso de Bienes (UB)</w:t>
            </w:r>
          </w:p>
        </w:tc>
        <w:tc>
          <w:tcPr>
            <w:tcW w:w="1843" w:type="dxa"/>
            <w:tcBorders>
              <w:left w:val="double" w:sz="4" w:space="0" w:color="auto"/>
              <w:bottom w:val="double" w:sz="4" w:space="0" w:color="auto"/>
            </w:tcBorders>
            <w:shd w:val="clear" w:color="auto" w:fill="DEEAF6" w:themeFill="accent5" w:themeFillTint="33"/>
          </w:tcPr>
          <w:p w14:paraId="6E66B3B0" w14:textId="51A6195C" w:rsidR="00201A51" w:rsidRPr="00C657EC" w:rsidRDefault="00AA2EC8" w:rsidP="009368CE">
            <w:pPr>
              <w:spacing w:after="0" w:line="276" w:lineRule="auto"/>
              <w:jc w:val="center"/>
              <w:rPr>
                <w:rFonts w:ascii="Montserrat" w:hAnsi="Montserrat"/>
                <w:sz w:val="20"/>
                <w:szCs w:val="20"/>
              </w:rPr>
            </w:pPr>
            <w:r>
              <w:rPr>
                <w:rFonts w:ascii="Montserrat" w:hAnsi="Montserrat"/>
                <w:sz w:val="20"/>
                <w:szCs w:val="20"/>
              </w:rPr>
              <w:t>7</w:t>
            </w:r>
          </w:p>
        </w:tc>
        <w:tc>
          <w:tcPr>
            <w:tcW w:w="1984" w:type="dxa"/>
            <w:tcBorders>
              <w:bottom w:val="double" w:sz="4" w:space="0" w:color="auto"/>
              <w:right w:val="double" w:sz="4" w:space="0" w:color="auto"/>
            </w:tcBorders>
          </w:tcPr>
          <w:p w14:paraId="75085E98" w14:textId="6C27B20A" w:rsidR="00201A51" w:rsidRPr="00C657EC" w:rsidRDefault="00AA2EC8" w:rsidP="009368CE">
            <w:pPr>
              <w:spacing w:after="0" w:line="276" w:lineRule="auto"/>
              <w:jc w:val="center"/>
              <w:rPr>
                <w:rFonts w:ascii="Montserrat" w:hAnsi="Montserrat"/>
                <w:sz w:val="20"/>
                <w:szCs w:val="20"/>
              </w:rPr>
            </w:pPr>
            <w:r>
              <w:rPr>
                <w:rFonts w:ascii="Montserrat" w:hAnsi="Montserrat"/>
                <w:sz w:val="20"/>
                <w:szCs w:val="20"/>
              </w:rPr>
              <w:t>0</w:t>
            </w:r>
          </w:p>
        </w:tc>
        <w:tc>
          <w:tcPr>
            <w:tcW w:w="1560" w:type="dxa"/>
            <w:tcBorders>
              <w:left w:val="double" w:sz="4" w:space="0" w:color="auto"/>
              <w:bottom w:val="double" w:sz="4" w:space="0" w:color="auto"/>
            </w:tcBorders>
            <w:shd w:val="clear" w:color="auto" w:fill="DEEAF6" w:themeFill="accent5" w:themeFillTint="33"/>
          </w:tcPr>
          <w:p w14:paraId="5D21F091" w14:textId="776EEAC4" w:rsidR="00201A51" w:rsidRPr="00C657EC" w:rsidRDefault="00302364" w:rsidP="009368CE">
            <w:pPr>
              <w:spacing w:after="0" w:line="276" w:lineRule="auto"/>
              <w:jc w:val="center"/>
              <w:rPr>
                <w:rFonts w:ascii="Montserrat" w:hAnsi="Montserrat"/>
                <w:sz w:val="20"/>
                <w:szCs w:val="20"/>
              </w:rPr>
            </w:pPr>
            <w:r>
              <w:rPr>
                <w:rFonts w:ascii="Montserrat" w:hAnsi="Montserrat"/>
                <w:sz w:val="20"/>
                <w:szCs w:val="20"/>
              </w:rPr>
              <w:t>1</w:t>
            </w:r>
          </w:p>
        </w:tc>
        <w:tc>
          <w:tcPr>
            <w:tcW w:w="1603" w:type="dxa"/>
            <w:tcBorders>
              <w:bottom w:val="double" w:sz="4" w:space="0" w:color="auto"/>
            </w:tcBorders>
          </w:tcPr>
          <w:p w14:paraId="7A16D48C" w14:textId="7F4808FF" w:rsidR="00201A51" w:rsidRPr="00C657EC" w:rsidRDefault="00302364" w:rsidP="009368CE">
            <w:pPr>
              <w:spacing w:after="0" w:line="276" w:lineRule="auto"/>
              <w:jc w:val="center"/>
              <w:rPr>
                <w:rFonts w:ascii="Montserrat" w:hAnsi="Montserrat"/>
                <w:sz w:val="20"/>
                <w:szCs w:val="20"/>
              </w:rPr>
            </w:pPr>
            <w:r>
              <w:rPr>
                <w:rFonts w:ascii="Montserrat" w:hAnsi="Montserrat"/>
                <w:sz w:val="20"/>
                <w:szCs w:val="20"/>
              </w:rPr>
              <w:t>1</w:t>
            </w:r>
          </w:p>
        </w:tc>
      </w:tr>
      <w:tr w:rsidR="00201A51" w:rsidRPr="00AA2EC8" w14:paraId="16E2D779" w14:textId="77777777" w:rsidTr="00EC7DA9">
        <w:tc>
          <w:tcPr>
            <w:tcW w:w="1843" w:type="dxa"/>
            <w:tcBorders>
              <w:top w:val="double" w:sz="4" w:space="0" w:color="auto"/>
              <w:right w:val="double" w:sz="4" w:space="0" w:color="auto"/>
            </w:tcBorders>
          </w:tcPr>
          <w:p w14:paraId="77D3FFAA" w14:textId="37B3497F" w:rsidR="00201A51" w:rsidRPr="00AA2EC8" w:rsidRDefault="00AA2EC8" w:rsidP="009368CE">
            <w:pPr>
              <w:spacing w:after="0" w:line="276" w:lineRule="auto"/>
              <w:jc w:val="both"/>
              <w:rPr>
                <w:rFonts w:ascii="Montserrat" w:hAnsi="Montserrat"/>
                <w:b/>
                <w:bCs/>
                <w:sz w:val="20"/>
                <w:szCs w:val="20"/>
              </w:rPr>
            </w:pPr>
            <w:r w:rsidRPr="00AA2EC8">
              <w:rPr>
                <w:rFonts w:ascii="Montserrat" w:hAnsi="Montserrat"/>
                <w:b/>
                <w:bCs/>
                <w:sz w:val="20"/>
                <w:szCs w:val="20"/>
              </w:rPr>
              <w:t>Total</w:t>
            </w:r>
          </w:p>
        </w:tc>
        <w:tc>
          <w:tcPr>
            <w:tcW w:w="1843" w:type="dxa"/>
            <w:tcBorders>
              <w:top w:val="double" w:sz="4" w:space="0" w:color="auto"/>
              <w:left w:val="double" w:sz="4" w:space="0" w:color="auto"/>
            </w:tcBorders>
            <w:shd w:val="clear" w:color="auto" w:fill="DEEAF6" w:themeFill="accent5" w:themeFillTint="33"/>
          </w:tcPr>
          <w:p w14:paraId="79E438FE" w14:textId="2F98539E" w:rsidR="00201A51" w:rsidRDefault="00BC58B0" w:rsidP="009368CE">
            <w:pPr>
              <w:spacing w:after="0" w:line="276" w:lineRule="auto"/>
              <w:jc w:val="center"/>
              <w:rPr>
                <w:rFonts w:ascii="Montserrat" w:hAnsi="Montserrat"/>
                <w:b/>
                <w:bCs/>
                <w:sz w:val="20"/>
                <w:szCs w:val="20"/>
              </w:rPr>
            </w:pPr>
            <w:r>
              <w:rPr>
                <w:rFonts w:ascii="Montserrat" w:hAnsi="Montserrat"/>
                <w:b/>
                <w:bCs/>
                <w:sz w:val="20"/>
                <w:szCs w:val="20"/>
              </w:rPr>
              <w:t>40</w:t>
            </w:r>
            <w:r w:rsidR="007B6F97">
              <w:rPr>
                <w:rFonts w:ascii="Montserrat" w:hAnsi="Montserrat"/>
                <w:b/>
                <w:bCs/>
                <w:sz w:val="20"/>
                <w:szCs w:val="20"/>
              </w:rPr>
              <w:t>/</w:t>
            </w:r>
            <w:r w:rsidR="00AA2EC8">
              <w:rPr>
                <w:rFonts w:ascii="Montserrat" w:hAnsi="Montserrat"/>
                <w:b/>
                <w:bCs/>
                <w:sz w:val="20"/>
                <w:szCs w:val="20"/>
              </w:rPr>
              <w:t>47</w:t>
            </w:r>
          </w:p>
          <w:p w14:paraId="1B042461" w14:textId="51079C0B" w:rsidR="00C872A2" w:rsidRPr="00AA2EC8" w:rsidRDefault="00E80501" w:rsidP="009368CE">
            <w:pPr>
              <w:spacing w:after="0" w:line="276" w:lineRule="auto"/>
              <w:jc w:val="center"/>
              <w:rPr>
                <w:rFonts w:ascii="Montserrat" w:hAnsi="Montserrat"/>
                <w:b/>
                <w:bCs/>
                <w:sz w:val="20"/>
                <w:szCs w:val="20"/>
              </w:rPr>
            </w:pPr>
            <w:r>
              <w:rPr>
                <w:rFonts w:ascii="Montserrat" w:hAnsi="Montserrat"/>
                <w:b/>
                <w:bCs/>
                <w:sz w:val="20"/>
                <w:szCs w:val="20"/>
              </w:rPr>
              <w:t>(</w:t>
            </w:r>
            <w:r w:rsidR="00730B9B">
              <w:rPr>
                <w:rFonts w:ascii="Montserrat" w:hAnsi="Montserrat"/>
                <w:b/>
                <w:bCs/>
                <w:sz w:val="20"/>
                <w:szCs w:val="20"/>
              </w:rPr>
              <w:t>8</w:t>
            </w:r>
            <w:r w:rsidR="00BC58B0">
              <w:rPr>
                <w:rFonts w:ascii="Montserrat" w:hAnsi="Montserrat"/>
                <w:b/>
                <w:bCs/>
                <w:sz w:val="20"/>
                <w:szCs w:val="20"/>
              </w:rPr>
              <w:t>5</w:t>
            </w:r>
            <w:r w:rsidR="00C872A2">
              <w:rPr>
                <w:rFonts w:ascii="Montserrat" w:hAnsi="Montserrat"/>
                <w:b/>
                <w:bCs/>
                <w:sz w:val="20"/>
                <w:szCs w:val="20"/>
              </w:rPr>
              <w:t>.</w:t>
            </w:r>
            <w:r w:rsidR="00BC58B0">
              <w:rPr>
                <w:rFonts w:ascii="Montserrat" w:hAnsi="Montserrat"/>
                <w:b/>
                <w:bCs/>
                <w:sz w:val="20"/>
                <w:szCs w:val="20"/>
              </w:rPr>
              <w:t>1</w:t>
            </w:r>
            <w:r w:rsidR="00C872A2">
              <w:rPr>
                <w:rFonts w:ascii="Montserrat" w:hAnsi="Montserrat"/>
                <w:b/>
                <w:bCs/>
                <w:sz w:val="20"/>
                <w:szCs w:val="20"/>
              </w:rPr>
              <w:t>%</w:t>
            </w:r>
            <w:r>
              <w:rPr>
                <w:rFonts w:ascii="Montserrat" w:hAnsi="Montserrat"/>
                <w:b/>
                <w:bCs/>
                <w:sz w:val="20"/>
                <w:szCs w:val="20"/>
              </w:rPr>
              <w:t>)</w:t>
            </w:r>
          </w:p>
        </w:tc>
        <w:tc>
          <w:tcPr>
            <w:tcW w:w="1984" w:type="dxa"/>
            <w:tcBorders>
              <w:top w:val="double" w:sz="4" w:space="0" w:color="auto"/>
              <w:right w:val="double" w:sz="4" w:space="0" w:color="auto"/>
            </w:tcBorders>
          </w:tcPr>
          <w:p w14:paraId="777EEA62" w14:textId="374B2419" w:rsidR="00201A51" w:rsidRDefault="00BC58B0" w:rsidP="009368CE">
            <w:pPr>
              <w:spacing w:after="0" w:line="276" w:lineRule="auto"/>
              <w:jc w:val="center"/>
              <w:rPr>
                <w:rFonts w:ascii="Montserrat" w:hAnsi="Montserrat"/>
                <w:b/>
                <w:bCs/>
                <w:sz w:val="20"/>
                <w:szCs w:val="20"/>
              </w:rPr>
            </w:pPr>
            <w:r>
              <w:rPr>
                <w:rFonts w:ascii="Montserrat" w:hAnsi="Montserrat"/>
                <w:b/>
                <w:bCs/>
                <w:sz w:val="20"/>
                <w:szCs w:val="20"/>
              </w:rPr>
              <w:t>7</w:t>
            </w:r>
            <w:r w:rsidR="007B6F97">
              <w:rPr>
                <w:rFonts w:ascii="Montserrat" w:hAnsi="Montserrat"/>
                <w:b/>
                <w:bCs/>
                <w:sz w:val="20"/>
                <w:szCs w:val="20"/>
              </w:rPr>
              <w:t>/</w:t>
            </w:r>
            <w:r w:rsidR="00AA2EC8">
              <w:rPr>
                <w:rFonts w:ascii="Montserrat" w:hAnsi="Montserrat"/>
                <w:b/>
                <w:bCs/>
                <w:sz w:val="20"/>
                <w:szCs w:val="20"/>
              </w:rPr>
              <w:t>47</w:t>
            </w:r>
          </w:p>
          <w:p w14:paraId="08F46E64" w14:textId="406A4C57" w:rsidR="00C872A2" w:rsidRPr="00AA2EC8" w:rsidRDefault="00E80501" w:rsidP="009368CE">
            <w:pPr>
              <w:spacing w:after="0" w:line="276" w:lineRule="auto"/>
              <w:jc w:val="center"/>
              <w:rPr>
                <w:rFonts w:ascii="Montserrat" w:hAnsi="Montserrat"/>
                <w:b/>
                <w:bCs/>
                <w:sz w:val="20"/>
                <w:szCs w:val="20"/>
              </w:rPr>
            </w:pPr>
            <w:r>
              <w:rPr>
                <w:rFonts w:ascii="Montserrat" w:hAnsi="Montserrat"/>
                <w:b/>
                <w:bCs/>
                <w:sz w:val="20"/>
                <w:szCs w:val="20"/>
              </w:rPr>
              <w:t>(</w:t>
            </w:r>
            <w:r w:rsidR="00730B9B">
              <w:rPr>
                <w:rFonts w:ascii="Montserrat" w:hAnsi="Montserrat"/>
                <w:b/>
                <w:bCs/>
                <w:sz w:val="20"/>
                <w:szCs w:val="20"/>
              </w:rPr>
              <w:t>1</w:t>
            </w:r>
            <w:r w:rsidR="00BC58B0">
              <w:rPr>
                <w:rFonts w:ascii="Montserrat" w:hAnsi="Montserrat"/>
                <w:b/>
                <w:bCs/>
                <w:sz w:val="20"/>
                <w:szCs w:val="20"/>
              </w:rPr>
              <w:t>4</w:t>
            </w:r>
            <w:r w:rsidR="00C872A2">
              <w:rPr>
                <w:rFonts w:ascii="Montserrat" w:hAnsi="Montserrat"/>
                <w:b/>
                <w:bCs/>
                <w:sz w:val="20"/>
                <w:szCs w:val="20"/>
              </w:rPr>
              <w:t>.</w:t>
            </w:r>
            <w:r w:rsidR="00BC58B0">
              <w:rPr>
                <w:rFonts w:ascii="Montserrat" w:hAnsi="Montserrat"/>
                <w:b/>
                <w:bCs/>
                <w:sz w:val="20"/>
                <w:szCs w:val="20"/>
              </w:rPr>
              <w:t>9</w:t>
            </w:r>
            <w:r w:rsidR="00C872A2">
              <w:rPr>
                <w:rFonts w:ascii="Montserrat" w:hAnsi="Montserrat"/>
                <w:b/>
                <w:bCs/>
                <w:sz w:val="20"/>
                <w:szCs w:val="20"/>
              </w:rPr>
              <w:t>%</w:t>
            </w:r>
            <w:r>
              <w:rPr>
                <w:rFonts w:ascii="Montserrat" w:hAnsi="Montserrat"/>
                <w:b/>
                <w:bCs/>
                <w:sz w:val="20"/>
                <w:szCs w:val="20"/>
              </w:rPr>
              <w:t>)</w:t>
            </w:r>
          </w:p>
        </w:tc>
        <w:tc>
          <w:tcPr>
            <w:tcW w:w="1560" w:type="dxa"/>
            <w:tcBorders>
              <w:top w:val="double" w:sz="4" w:space="0" w:color="auto"/>
              <w:left w:val="double" w:sz="4" w:space="0" w:color="auto"/>
            </w:tcBorders>
            <w:shd w:val="clear" w:color="auto" w:fill="DEEAF6" w:themeFill="accent5" w:themeFillTint="33"/>
          </w:tcPr>
          <w:p w14:paraId="76DAF709" w14:textId="256A5403" w:rsidR="00201A51" w:rsidRDefault="006068DE" w:rsidP="009368CE">
            <w:pPr>
              <w:spacing w:after="0" w:line="276" w:lineRule="auto"/>
              <w:jc w:val="center"/>
              <w:rPr>
                <w:rFonts w:ascii="Montserrat" w:hAnsi="Montserrat"/>
                <w:b/>
                <w:bCs/>
                <w:sz w:val="20"/>
                <w:szCs w:val="20"/>
              </w:rPr>
            </w:pPr>
            <w:r>
              <w:rPr>
                <w:rFonts w:ascii="Montserrat" w:hAnsi="Montserrat"/>
                <w:b/>
                <w:bCs/>
                <w:sz w:val="20"/>
                <w:szCs w:val="20"/>
              </w:rPr>
              <w:t>5</w:t>
            </w:r>
            <w:r w:rsidR="007B6F97">
              <w:rPr>
                <w:rFonts w:ascii="Montserrat" w:hAnsi="Montserrat"/>
                <w:b/>
                <w:bCs/>
                <w:sz w:val="20"/>
                <w:szCs w:val="20"/>
              </w:rPr>
              <w:t>/</w:t>
            </w:r>
            <w:r>
              <w:rPr>
                <w:rFonts w:ascii="Montserrat" w:hAnsi="Montserrat"/>
                <w:b/>
                <w:bCs/>
                <w:sz w:val="20"/>
                <w:szCs w:val="20"/>
              </w:rPr>
              <w:t>12</w:t>
            </w:r>
          </w:p>
          <w:p w14:paraId="243B9AF1" w14:textId="1358E918" w:rsidR="00C872A2" w:rsidRPr="00AA2EC8" w:rsidRDefault="00E80501" w:rsidP="009368CE">
            <w:pPr>
              <w:spacing w:after="0" w:line="276" w:lineRule="auto"/>
              <w:jc w:val="center"/>
              <w:rPr>
                <w:rFonts w:ascii="Montserrat" w:hAnsi="Montserrat"/>
                <w:b/>
                <w:bCs/>
                <w:sz w:val="20"/>
                <w:szCs w:val="20"/>
              </w:rPr>
            </w:pPr>
            <w:r>
              <w:rPr>
                <w:rFonts w:ascii="Montserrat" w:hAnsi="Montserrat"/>
                <w:b/>
                <w:bCs/>
                <w:sz w:val="20"/>
                <w:szCs w:val="20"/>
              </w:rPr>
              <w:t>(</w:t>
            </w:r>
            <w:r w:rsidR="00176DC4">
              <w:rPr>
                <w:rFonts w:ascii="Montserrat" w:hAnsi="Montserrat"/>
                <w:b/>
                <w:bCs/>
                <w:sz w:val="20"/>
                <w:szCs w:val="20"/>
              </w:rPr>
              <w:t>41.7</w:t>
            </w:r>
            <w:r w:rsidR="00730B9B">
              <w:rPr>
                <w:rFonts w:ascii="Montserrat" w:hAnsi="Montserrat"/>
                <w:b/>
                <w:bCs/>
                <w:sz w:val="20"/>
                <w:szCs w:val="20"/>
              </w:rPr>
              <w:t>%</w:t>
            </w:r>
            <w:r>
              <w:rPr>
                <w:rFonts w:ascii="Montserrat" w:hAnsi="Montserrat"/>
                <w:b/>
                <w:bCs/>
                <w:sz w:val="20"/>
                <w:szCs w:val="20"/>
              </w:rPr>
              <w:t>)</w:t>
            </w:r>
          </w:p>
        </w:tc>
        <w:tc>
          <w:tcPr>
            <w:tcW w:w="1603" w:type="dxa"/>
            <w:tcBorders>
              <w:top w:val="double" w:sz="4" w:space="0" w:color="auto"/>
            </w:tcBorders>
          </w:tcPr>
          <w:p w14:paraId="03D2EC79" w14:textId="11FC4479" w:rsidR="00201A51" w:rsidRDefault="006068DE" w:rsidP="009368CE">
            <w:pPr>
              <w:spacing w:after="0" w:line="276" w:lineRule="auto"/>
              <w:jc w:val="center"/>
              <w:rPr>
                <w:rFonts w:ascii="Montserrat" w:hAnsi="Montserrat"/>
                <w:b/>
                <w:bCs/>
                <w:sz w:val="20"/>
                <w:szCs w:val="20"/>
              </w:rPr>
            </w:pPr>
            <w:r>
              <w:rPr>
                <w:rFonts w:ascii="Montserrat" w:hAnsi="Montserrat"/>
                <w:b/>
                <w:bCs/>
                <w:sz w:val="20"/>
                <w:szCs w:val="20"/>
              </w:rPr>
              <w:t>7</w:t>
            </w:r>
            <w:r w:rsidR="007B6F97">
              <w:rPr>
                <w:rFonts w:ascii="Montserrat" w:hAnsi="Montserrat"/>
                <w:b/>
                <w:bCs/>
                <w:sz w:val="20"/>
                <w:szCs w:val="20"/>
              </w:rPr>
              <w:t>/</w:t>
            </w:r>
            <w:r>
              <w:rPr>
                <w:rFonts w:ascii="Montserrat" w:hAnsi="Montserrat"/>
                <w:b/>
                <w:bCs/>
                <w:sz w:val="20"/>
                <w:szCs w:val="20"/>
              </w:rPr>
              <w:t>12</w:t>
            </w:r>
          </w:p>
          <w:p w14:paraId="1DB3D443" w14:textId="110122DA" w:rsidR="00C872A2" w:rsidRPr="00AA2EC8" w:rsidRDefault="00E80501" w:rsidP="009368CE">
            <w:pPr>
              <w:spacing w:after="0" w:line="276" w:lineRule="auto"/>
              <w:jc w:val="center"/>
              <w:rPr>
                <w:rFonts w:ascii="Montserrat" w:hAnsi="Montserrat"/>
                <w:b/>
                <w:bCs/>
                <w:sz w:val="20"/>
                <w:szCs w:val="20"/>
              </w:rPr>
            </w:pPr>
            <w:r>
              <w:rPr>
                <w:rFonts w:ascii="Montserrat" w:hAnsi="Montserrat"/>
                <w:b/>
                <w:bCs/>
                <w:sz w:val="20"/>
                <w:szCs w:val="20"/>
              </w:rPr>
              <w:t>(</w:t>
            </w:r>
            <w:r w:rsidR="00730B9B">
              <w:rPr>
                <w:rFonts w:ascii="Montserrat" w:hAnsi="Montserrat"/>
                <w:b/>
                <w:bCs/>
                <w:sz w:val="20"/>
                <w:szCs w:val="20"/>
              </w:rPr>
              <w:t>5</w:t>
            </w:r>
            <w:r w:rsidR="00176DC4">
              <w:rPr>
                <w:rFonts w:ascii="Montserrat" w:hAnsi="Montserrat"/>
                <w:b/>
                <w:bCs/>
                <w:sz w:val="20"/>
                <w:szCs w:val="20"/>
              </w:rPr>
              <w:t>8</w:t>
            </w:r>
            <w:r w:rsidR="00730B9B">
              <w:rPr>
                <w:rFonts w:ascii="Montserrat" w:hAnsi="Montserrat"/>
                <w:b/>
                <w:bCs/>
                <w:sz w:val="20"/>
                <w:szCs w:val="20"/>
              </w:rPr>
              <w:t>.</w:t>
            </w:r>
            <w:r w:rsidR="00176DC4">
              <w:rPr>
                <w:rFonts w:ascii="Montserrat" w:hAnsi="Montserrat"/>
                <w:b/>
                <w:bCs/>
                <w:sz w:val="20"/>
                <w:szCs w:val="20"/>
              </w:rPr>
              <w:t>3</w:t>
            </w:r>
            <w:r w:rsidR="00C872A2">
              <w:rPr>
                <w:rFonts w:ascii="Montserrat" w:hAnsi="Montserrat"/>
                <w:b/>
                <w:bCs/>
                <w:sz w:val="20"/>
                <w:szCs w:val="20"/>
              </w:rPr>
              <w:t>%</w:t>
            </w:r>
            <w:r>
              <w:rPr>
                <w:rFonts w:ascii="Montserrat" w:hAnsi="Montserrat"/>
                <w:b/>
                <w:bCs/>
                <w:sz w:val="20"/>
                <w:szCs w:val="20"/>
              </w:rPr>
              <w:t>)</w:t>
            </w:r>
          </w:p>
        </w:tc>
      </w:tr>
    </w:tbl>
    <w:p w14:paraId="35CA7F86" w14:textId="01C5D8C4" w:rsidR="00C657EC" w:rsidRDefault="00C657EC" w:rsidP="00692ACE">
      <w:pPr>
        <w:spacing w:line="276" w:lineRule="auto"/>
        <w:jc w:val="both"/>
        <w:rPr>
          <w:rFonts w:ascii="Montserrat" w:hAnsi="Montserrat"/>
        </w:rPr>
      </w:pPr>
    </w:p>
    <w:p w14:paraId="54ACDE68" w14:textId="77751A16" w:rsidR="00E80501" w:rsidRDefault="009575CD" w:rsidP="00692ACE">
      <w:pPr>
        <w:spacing w:line="276" w:lineRule="auto"/>
        <w:jc w:val="both"/>
        <w:rPr>
          <w:rFonts w:ascii="Montserrat" w:hAnsi="Montserrat"/>
        </w:rPr>
      </w:pPr>
      <w:r>
        <w:rPr>
          <w:rFonts w:ascii="Montserrat" w:hAnsi="Montserrat"/>
        </w:rPr>
        <w:t xml:space="preserve">La gráfica que sigue muestra </w:t>
      </w:r>
      <w:r w:rsidR="00760DA4">
        <w:rPr>
          <w:rFonts w:ascii="Montserrat" w:hAnsi="Montserrat"/>
        </w:rPr>
        <w:t>la evolución en los</w:t>
      </w:r>
      <w:r>
        <w:rPr>
          <w:rFonts w:ascii="Montserrat" w:hAnsi="Montserrat"/>
        </w:rPr>
        <w:t xml:space="preserve"> avances en los 47 compromisos </w:t>
      </w:r>
      <w:r w:rsidR="00760DA4">
        <w:rPr>
          <w:rFonts w:ascii="Montserrat" w:hAnsi="Montserrat"/>
        </w:rPr>
        <w:t>a lo largo del año</w:t>
      </w:r>
      <w:r w:rsidR="002A7F5E">
        <w:rPr>
          <w:rFonts w:ascii="Montserrat" w:hAnsi="Montserrat"/>
        </w:rPr>
        <w:t xml:space="preserve"> 2020.</w:t>
      </w:r>
    </w:p>
    <w:p w14:paraId="254A4D3E" w14:textId="77777777" w:rsidR="00A55732" w:rsidRDefault="00A55732" w:rsidP="00692ACE">
      <w:pPr>
        <w:spacing w:line="276" w:lineRule="auto"/>
        <w:jc w:val="both"/>
        <w:rPr>
          <w:rFonts w:ascii="Montserrat" w:hAnsi="Montserrat"/>
        </w:rPr>
      </w:pPr>
    </w:p>
    <w:p w14:paraId="692AD2E5" w14:textId="77777777" w:rsidR="00DD030A" w:rsidRDefault="00DD030A" w:rsidP="009575CD">
      <w:pPr>
        <w:spacing w:after="0" w:line="276" w:lineRule="auto"/>
        <w:ind w:left="851"/>
        <w:rPr>
          <w:rFonts w:ascii="Montserrat" w:hAnsi="Montserrat"/>
          <w:sz w:val="20"/>
          <w:szCs w:val="20"/>
        </w:rPr>
      </w:pPr>
    </w:p>
    <w:p w14:paraId="20BF5D98" w14:textId="77777777" w:rsidR="00DD030A" w:rsidRDefault="00DD030A" w:rsidP="009575CD">
      <w:pPr>
        <w:spacing w:after="0" w:line="276" w:lineRule="auto"/>
        <w:ind w:left="851"/>
        <w:rPr>
          <w:rFonts w:ascii="Montserrat" w:hAnsi="Montserrat"/>
          <w:sz w:val="20"/>
          <w:szCs w:val="20"/>
        </w:rPr>
      </w:pPr>
    </w:p>
    <w:p w14:paraId="60C5222A" w14:textId="7D9C16D8" w:rsidR="009575CD" w:rsidRPr="002A7F5E" w:rsidRDefault="009575CD" w:rsidP="00760DA4">
      <w:pPr>
        <w:spacing w:after="0" w:line="276" w:lineRule="auto"/>
        <w:ind w:left="567"/>
        <w:jc w:val="both"/>
        <w:rPr>
          <w:rFonts w:ascii="Montserrat" w:hAnsi="Montserrat"/>
          <w:sz w:val="20"/>
          <w:szCs w:val="20"/>
        </w:rPr>
      </w:pPr>
      <w:r w:rsidRPr="002A7F5E">
        <w:rPr>
          <w:rFonts w:ascii="Montserrat" w:hAnsi="Montserrat"/>
          <w:sz w:val="20"/>
          <w:szCs w:val="20"/>
        </w:rPr>
        <w:t xml:space="preserve">Gráfica. </w:t>
      </w:r>
      <w:r w:rsidR="002A7F5E">
        <w:rPr>
          <w:rFonts w:ascii="Montserrat" w:hAnsi="Montserrat"/>
          <w:sz w:val="20"/>
          <w:szCs w:val="20"/>
        </w:rPr>
        <w:t xml:space="preserve">Porcentaje de acciones realizadas </w:t>
      </w:r>
      <w:r w:rsidR="00760DA4">
        <w:rPr>
          <w:rFonts w:ascii="Montserrat" w:hAnsi="Montserrat"/>
          <w:sz w:val="20"/>
          <w:szCs w:val="20"/>
        </w:rPr>
        <w:t xml:space="preserve">por trimestre </w:t>
      </w:r>
      <w:r w:rsidR="002A7F5E">
        <w:rPr>
          <w:rFonts w:ascii="Montserrat" w:hAnsi="Montserrat"/>
          <w:sz w:val="20"/>
          <w:szCs w:val="20"/>
        </w:rPr>
        <w:t>respecto</w:t>
      </w:r>
      <w:r w:rsidRPr="002A7F5E">
        <w:rPr>
          <w:rFonts w:ascii="Montserrat" w:hAnsi="Montserrat"/>
          <w:sz w:val="20"/>
          <w:szCs w:val="20"/>
        </w:rPr>
        <w:t xml:space="preserve"> a los 47 compromisos del PNCCIMGP </w:t>
      </w:r>
      <w:r w:rsidR="00A55732">
        <w:rPr>
          <w:rFonts w:ascii="Montserrat" w:hAnsi="Montserrat"/>
          <w:sz w:val="20"/>
          <w:szCs w:val="20"/>
        </w:rPr>
        <w:t>- 2020</w:t>
      </w:r>
    </w:p>
    <w:p w14:paraId="6E677A55" w14:textId="153DD34F" w:rsidR="00E80501" w:rsidRDefault="00A55732" w:rsidP="00E80501">
      <w:pPr>
        <w:spacing w:line="276" w:lineRule="auto"/>
        <w:jc w:val="center"/>
        <w:rPr>
          <w:rFonts w:ascii="Montserrat" w:hAnsi="Montserrat"/>
        </w:rPr>
      </w:pPr>
      <w:r>
        <w:rPr>
          <w:rFonts w:ascii="Montserrat" w:hAnsi="Montserrat"/>
          <w:noProof/>
        </w:rPr>
        <w:drawing>
          <wp:inline distT="0" distB="0" distL="0" distR="0" wp14:anchorId="53D7056B" wp14:editId="4B1C3C30">
            <wp:extent cx="5194300" cy="288353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4300" cy="2883535"/>
                    </a:xfrm>
                    <a:prstGeom prst="rect">
                      <a:avLst/>
                    </a:prstGeom>
                    <a:noFill/>
                  </pic:spPr>
                </pic:pic>
              </a:graphicData>
            </a:graphic>
          </wp:inline>
        </w:drawing>
      </w:r>
    </w:p>
    <w:p w14:paraId="582BC41D" w14:textId="77777777" w:rsidR="009575CD" w:rsidRDefault="009575CD" w:rsidP="00692ACE">
      <w:pPr>
        <w:spacing w:line="276" w:lineRule="auto"/>
        <w:jc w:val="both"/>
        <w:rPr>
          <w:rFonts w:ascii="Montserrat" w:hAnsi="Montserrat"/>
        </w:rPr>
      </w:pPr>
    </w:p>
    <w:p w14:paraId="512743C2" w14:textId="2530E15D" w:rsidR="009575CD" w:rsidRDefault="009575CD" w:rsidP="00692ACE">
      <w:pPr>
        <w:spacing w:line="276" w:lineRule="auto"/>
        <w:jc w:val="both"/>
        <w:rPr>
          <w:rFonts w:ascii="Montserrat" w:hAnsi="Montserrat"/>
        </w:rPr>
      </w:pPr>
      <w:r>
        <w:rPr>
          <w:rFonts w:ascii="Montserrat" w:hAnsi="Montserrat"/>
        </w:rPr>
        <w:t>A lo largo del año 2020, ha mejorado la respuesta institucional a los compromisos marcados por el PNCCIMGP. Pasó de 23 respuestas con acciones en el primer trimestre, a 35 en el segundo</w:t>
      </w:r>
      <w:r w:rsidR="00225019">
        <w:rPr>
          <w:rFonts w:ascii="Montserrat" w:hAnsi="Montserrat"/>
        </w:rPr>
        <w:t>,</w:t>
      </w:r>
      <w:r>
        <w:rPr>
          <w:rFonts w:ascii="Montserrat" w:hAnsi="Montserrat"/>
        </w:rPr>
        <w:t xml:space="preserve"> 38 en el tercero</w:t>
      </w:r>
      <w:r w:rsidR="00225019">
        <w:rPr>
          <w:rFonts w:ascii="Montserrat" w:hAnsi="Montserrat"/>
        </w:rPr>
        <w:t xml:space="preserve"> y 40 en el cuarto</w:t>
      </w:r>
      <w:r>
        <w:rPr>
          <w:rFonts w:ascii="Montserrat" w:hAnsi="Montserrat"/>
        </w:rPr>
        <w:t xml:space="preserve"> (respectivamente 48.9%, 74.5%</w:t>
      </w:r>
      <w:r w:rsidR="00225019">
        <w:rPr>
          <w:rFonts w:ascii="Montserrat" w:hAnsi="Montserrat"/>
        </w:rPr>
        <w:t>,</w:t>
      </w:r>
      <w:r>
        <w:rPr>
          <w:rFonts w:ascii="Montserrat" w:hAnsi="Montserrat"/>
        </w:rPr>
        <w:t xml:space="preserve"> 80.9%</w:t>
      </w:r>
      <w:r w:rsidR="00225019">
        <w:rPr>
          <w:rFonts w:ascii="Montserrat" w:hAnsi="Montserrat"/>
        </w:rPr>
        <w:t xml:space="preserve"> y 85.1%</w:t>
      </w:r>
      <w:r>
        <w:rPr>
          <w:rFonts w:ascii="Montserrat" w:hAnsi="Montserrat"/>
        </w:rPr>
        <w:t xml:space="preserve">). </w:t>
      </w:r>
    </w:p>
    <w:p w14:paraId="6774C041" w14:textId="45A0341A" w:rsidR="009575CD" w:rsidRDefault="006F3551" w:rsidP="00692ACE">
      <w:pPr>
        <w:spacing w:line="276" w:lineRule="auto"/>
        <w:jc w:val="both"/>
        <w:rPr>
          <w:rFonts w:ascii="Montserrat" w:hAnsi="Montserrat"/>
        </w:rPr>
      </w:pPr>
      <w:r>
        <w:rPr>
          <w:rFonts w:ascii="Montserrat" w:hAnsi="Montserrat"/>
        </w:rPr>
        <w:t>En cuanto a los indicadores, pasaron de 2 reportados sobre 7 en el primer trimestre (28.6%) a 5 sobre 8 para el segundo trimestre (62.5%); 3</w:t>
      </w:r>
      <w:r w:rsidR="00C5734A">
        <w:rPr>
          <w:rFonts w:ascii="Montserrat" w:hAnsi="Montserrat"/>
        </w:rPr>
        <w:t xml:space="preserve"> sobre </w:t>
      </w:r>
      <w:r>
        <w:rPr>
          <w:rFonts w:ascii="Montserrat" w:hAnsi="Montserrat"/>
        </w:rPr>
        <w:t xml:space="preserve">7 en </w:t>
      </w:r>
      <w:r w:rsidR="0018573C">
        <w:rPr>
          <w:rFonts w:ascii="Montserrat" w:hAnsi="Montserrat"/>
        </w:rPr>
        <w:t xml:space="preserve">el </w:t>
      </w:r>
      <w:r>
        <w:rPr>
          <w:rFonts w:ascii="Montserrat" w:hAnsi="Montserrat"/>
        </w:rPr>
        <w:t>tercer trimestre (42.9%)</w:t>
      </w:r>
      <w:r w:rsidR="0018573C">
        <w:rPr>
          <w:rFonts w:ascii="Montserrat" w:hAnsi="Montserrat"/>
        </w:rPr>
        <w:t xml:space="preserve"> y 5 sobre 12 en el último trimestre (41.7%)</w:t>
      </w:r>
      <w:r>
        <w:rPr>
          <w:rFonts w:ascii="Montserrat" w:hAnsi="Montserrat"/>
        </w:rPr>
        <w:t xml:space="preserve">. </w:t>
      </w:r>
    </w:p>
    <w:p w14:paraId="14AE7065" w14:textId="6E37D789" w:rsidR="00BF6138" w:rsidRDefault="00BF6138" w:rsidP="00692ACE">
      <w:pPr>
        <w:spacing w:line="276" w:lineRule="auto"/>
        <w:jc w:val="both"/>
        <w:rPr>
          <w:rFonts w:ascii="Montserrat" w:hAnsi="Montserrat"/>
        </w:rPr>
      </w:pPr>
      <w:r>
        <w:rPr>
          <w:rFonts w:ascii="Montserrat" w:hAnsi="Montserrat"/>
        </w:rPr>
        <w:t xml:space="preserve">A continuación, se proporciona información sobre los compromisos sin acciones realizadas. </w:t>
      </w:r>
    </w:p>
    <w:p w14:paraId="2BB10743" w14:textId="55841B99" w:rsidR="00BF6138" w:rsidRPr="0081492E" w:rsidRDefault="007B3488" w:rsidP="007B3488">
      <w:pPr>
        <w:spacing w:after="0" w:line="276" w:lineRule="auto"/>
        <w:jc w:val="both"/>
        <w:rPr>
          <w:rFonts w:ascii="Montserrat" w:hAnsi="Montserrat"/>
          <w:sz w:val="20"/>
          <w:szCs w:val="20"/>
        </w:rPr>
      </w:pPr>
      <w:r w:rsidRPr="0081492E">
        <w:rPr>
          <w:rFonts w:ascii="Montserrat" w:hAnsi="Montserrat"/>
          <w:sz w:val="20"/>
          <w:szCs w:val="20"/>
        </w:rPr>
        <w:t xml:space="preserve">Tabla. Justificación de los compromisos sin avances </w:t>
      </w:r>
      <w:r w:rsidR="00760DA4">
        <w:rPr>
          <w:rFonts w:ascii="Montserrat" w:hAnsi="Montserrat"/>
          <w:sz w:val="20"/>
          <w:szCs w:val="20"/>
        </w:rPr>
        <w:t>a fines de</w:t>
      </w:r>
      <w:r w:rsidRPr="0081492E">
        <w:rPr>
          <w:rFonts w:ascii="Montserrat" w:hAnsi="Montserrat"/>
          <w:sz w:val="20"/>
          <w:szCs w:val="20"/>
        </w:rPr>
        <w:t xml:space="preserve"> 2020</w:t>
      </w:r>
    </w:p>
    <w:tbl>
      <w:tblPr>
        <w:tblStyle w:val="Tablaconcuadrcula"/>
        <w:tblW w:w="8789" w:type="dxa"/>
        <w:tblInd w:w="-5" w:type="dxa"/>
        <w:tblLook w:val="04A0" w:firstRow="1" w:lastRow="0" w:firstColumn="1" w:lastColumn="0" w:noHBand="0" w:noVBand="1"/>
      </w:tblPr>
      <w:tblGrid>
        <w:gridCol w:w="914"/>
        <w:gridCol w:w="3645"/>
        <w:gridCol w:w="4230"/>
      </w:tblGrid>
      <w:tr w:rsidR="001409D0" w:rsidRPr="001F05E5" w14:paraId="16C2FD50" w14:textId="15F33F96" w:rsidTr="001409D0">
        <w:tc>
          <w:tcPr>
            <w:tcW w:w="446" w:type="dxa"/>
          </w:tcPr>
          <w:p w14:paraId="2B8449CD" w14:textId="77777777" w:rsidR="001409D0" w:rsidRPr="001F05E5" w:rsidRDefault="001409D0" w:rsidP="001F05E5">
            <w:pPr>
              <w:spacing w:after="0" w:line="240" w:lineRule="auto"/>
              <w:jc w:val="both"/>
              <w:rPr>
                <w:rFonts w:ascii="Montserrat" w:hAnsi="Montserrat"/>
                <w:sz w:val="20"/>
                <w:szCs w:val="20"/>
              </w:rPr>
            </w:pPr>
          </w:p>
        </w:tc>
        <w:tc>
          <w:tcPr>
            <w:tcW w:w="3825" w:type="dxa"/>
          </w:tcPr>
          <w:p w14:paraId="0D101584" w14:textId="7D8BEF01" w:rsidR="001409D0" w:rsidRPr="007B6F97" w:rsidRDefault="001409D0" w:rsidP="001F05E5">
            <w:pPr>
              <w:spacing w:after="0" w:line="240" w:lineRule="auto"/>
              <w:jc w:val="center"/>
              <w:rPr>
                <w:rFonts w:ascii="Montserrat" w:hAnsi="Montserrat"/>
                <w:b/>
                <w:bCs/>
                <w:sz w:val="20"/>
                <w:szCs w:val="20"/>
              </w:rPr>
            </w:pPr>
            <w:r w:rsidRPr="007B6F97">
              <w:rPr>
                <w:rFonts w:ascii="Montserrat" w:hAnsi="Montserrat"/>
                <w:b/>
                <w:bCs/>
                <w:sz w:val="20"/>
                <w:szCs w:val="20"/>
              </w:rPr>
              <w:t xml:space="preserve">Compromisos sin avances </w:t>
            </w:r>
          </w:p>
        </w:tc>
        <w:tc>
          <w:tcPr>
            <w:tcW w:w="4518" w:type="dxa"/>
          </w:tcPr>
          <w:p w14:paraId="3D162CD7" w14:textId="1054F741" w:rsidR="001409D0" w:rsidRPr="007B6F97" w:rsidRDefault="001409D0" w:rsidP="001F05E5">
            <w:pPr>
              <w:spacing w:after="0" w:line="240" w:lineRule="auto"/>
              <w:jc w:val="center"/>
              <w:rPr>
                <w:rFonts w:ascii="Montserrat" w:hAnsi="Montserrat"/>
                <w:b/>
                <w:bCs/>
                <w:sz w:val="20"/>
                <w:szCs w:val="20"/>
              </w:rPr>
            </w:pPr>
            <w:r w:rsidRPr="007B6F97">
              <w:rPr>
                <w:rFonts w:ascii="Montserrat" w:hAnsi="Montserrat"/>
                <w:b/>
                <w:bCs/>
                <w:sz w:val="20"/>
                <w:szCs w:val="20"/>
              </w:rPr>
              <w:t>Justificación</w:t>
            </w:r>
          </w:p>
        </w:tc>
      </w:tr>
      <w:tr w:rsidR="001409D0" w:rsidRPr="004B29FE" w14:paraId="360062AC" w14:textId="0254C9B3" w:rsidTr="001409D0">
        <w:tc>
          <w:tcPr>
            <w:tcW w:w="446" w:type="dxa"/>
            <w:shd w:val="clear" w:color="auto" w:fill="auto"/>
          </w:tcPr>
          <w:p w14:paraId="07E2549B" w14:textId="0921F325" w:rsidR="001409D0" w:rsidRPr="004B29FE" w:rsidRDefault="001409D0" w:rsidP="001F05E5">
            <w:pPr>
              <w:spacing w:after="0" w:line="240" w:lineRule="auto"/>
              <w:jc w:val="both"/>
              <w:rPr>
                <w:rFonts w:ascii="Montserrat" w:hAnsi="Montserrat"/>
                <w:sz w:val="20"/>
                <w:szCs w:val="20"/>
              </w:rPr>
            </w:pPr>
            <w:r w:rsidRPr="004B29FE">
              <w:rPr>
                <w:rFonts w:ascii="Montserrat" w:hAnsi="Montserrat"/>
                <w:sz w:val="20"/>
                <w:szCs w:val="20"/>
              </w:rPr>
              <w:t>CC.5</w:t>
            </w:r>
          </w:p>
        </w:tc>
        <w:tc>
          <w:tcPr>
            <w:tcW w:w="3825" w:type="dxa"/>
            <w:shd w:val="clear" w:color="auto" w:fill="auto"/>
          </w:tcPr>
          <w:p w14:paraId="10D47623" w14:textId="6C92BBA8" w:rsidR="001409D0" w:rsidRPr="004B29FE" w:rsidRDefault="001409D0" w:rsidP="00BF344F">
            <w:pPr>
              <w:spacing w:after="0" w:line="240" w:lineRule="auto"/>
              <w:rPr>
                <w:rFonts w:ascii="Montserrat" w:hAnsi="Montserrat"/>
                <w:sz w:val="20"/>
                <w:szCs w:val="20"/>
              </w:rPr>
            </w:pPr>
            <w:r w:rsidRPr="004B29FE">
              <w:rPr>
                <w:rFonts w:ascii="Montserrat" w:hAnsi="Montserrat"/>
                <w:sz w:val="20"/>
                <w:szCs w:val="20"/>
              </w:rPr>
              <w:t xml:space="preserve">Registrar en la Bitácora Electrónica de Seguimiento de Adquisiciones, cada una de las etapas de la ejecución de los contratos de compras con recursos federales, desde su </w:t>
            </w:r>
            <w:r w:rsidRPr="004B29FE">
              <w:rPr>
                <w:rFonts w:ascii="Montserrat" w:hAnsi="Montserrat"/>
                <w:sz w:val="20"/>
                <w:szCs w:val="20"/>
              </w:rPr>
              <w:lastRenderedPageBreak/>
              <w:t>formalización hasta la recepción y pago de los bienes y servicios, para eficientar su seguimiento.</w:t>
            </w:r>
          </w:p>
        </w:tc>
        <w:tc>
          <w:tcPr>
            <w:tcW w:w="4518" w:type="dxa"/>
            <w:shd w:val="clear" w:color="auto" w:fill="auto"/>
          </w:tcPr>
          <w:p w14:paraId="41C4CD2F" w14:textId="0B2037B6" w:rsidR="001409D0" w:rsidRPr="004B29FE" w:rsidRDefault="001409D0" w:rsidP="00A25F62">
            <w:pPr>
              <w:spacing w:after="0" w:line="240" w:lineRule="auto"/>
              <w:rPr>
                <w:rFonts w:ascii="Montserrat" w:hAnsi="Montserrat"/>
                <w:sz w:val="20"/>
                <w:szCs w:val="20"/>
              </w:rPr>
            </w:pPr>
            <w:r w:rsidRPr="004B29FE">
              <w:rPr>
                <w:rFonts w:ascii="Montserrat" w:hAnsi="Montserrat"/>
                <w:sz w:val="20"/>
                <w:szCs w:val="20"/>
              </w:rPr>
              <w:lastRenderedPageBreak/>
              <w:t>La SFP solicitó no reportar esta acción hasta que se notifique la liberación del sistema para el registro en la Bitácora Electrónica de Seguimiento de Adquisiciones.</w:t>
            </w:r>
            <w:r>
              <w:rPr>
                <w:rFonts w:ascii="Montserrat" w:hAnsi="Montserrat"/>
                <w:sz w:val="20"/>
                <w:szCs w:val="20"/>
              </w:rPr>
              <w:t xml:space="preserve"> A finales de 2020 no </w:t>
            </w:r>
            <w:r>
              <w:rPr>
                <w:rFonts w:ascii="Montserrat" w:hAnsi="Montserrat"/>
                <w:sz w:val="20"/>
                <w:szCs w:val="20"/>
              </w:rPr>
              <w:lastRenderedPageBreak/>
              <w:t>había notificación de liberación de esta bitácora.</w:t>
            </w:r>
          </w:p>
        </w:tc>
      </w:tr>
      <w:tr w:rsidR="001409D0" w:rsidRPr="001F05E5" w14:paraId="590D7280" w14:textId="3BE353B1" w:rsidTr="001409D0">
        <w:tc>
          <w:tcPr>
            <w:tcW w:w="446" w:type="dxa"/>
            <w:shd w:val="clear" w:color="auto" w:fill="auto"/>
          </w:tcPr>
          <w:p w14:paraId="51FB90D0" w14:textId="03CBC68B" w:rsidR="001409D0" w:rsidRPr="004B29FE" w:rsidRDefault="001409D0" w:rsidP="001F05E5">
            <w:pPr>
              <w:spacing w:after="0" w:line="240" w:lineRule="auto"/>
              <w:jc w:val="both"/>
              <w:rPr>
                <w:rFonts w:ascii="Montserrat" w:hAnsi="Montserrat"/>
                <w:sz w:val="20"/>
                <w:szCs w:val="20"/>
              </w:rPr>
            </w:pPr>
            <w:r w:rsidRPr="004B29FE">
              <w:rPr>
                <w:rFonts w:ascii="Montserrat" w:hAnsi="Montserrat"/>
                <w:sz w:val="20"/>
                <w:szCs w:val="20"/>
              </w:rPr>
              <w:lastRenderedPageBreak/>
              <w:t>CC.8</w:t>
            </w:r>
          </w:p>
        </w:tc>
        <w:tc>
          <w:tcPr>
            <w:tcW w:w="3825" w:type="dxa"/>
            <w:shd w:val="clear" w:color="auto" w:fill="auto"/>
          </w:tcPr>
          <w:p w14:paraId="3AEF6297" w14:textId="4AA59A7A" w:rsidR="001409D0" w:rsidRPr="004B29FE" w:rsidRDefault="001409D0" w:rsidP="00BF344F">
            <w:pPr>
              <w:spacing w:after="0" w:line="240" w:lineRule="auto"/>
              <w:rPr>
                <w:rFonts w:ascii="Montserrat" w:hAnsi="Montserrat"/>
                <w:sz w:val="20"/>
                <w:szCs w:val="20"/>
              </w:rPr>
            </w:pPr>
            <w:r w:rsidRPr="004B29FE">
              <w:rPr>
                <w:rFonts w:ascii="Montserrat" w:hAnsi="Montserrat"/>
                <w:sz w:val="20"/>
                <w:szCs w:val="20"/>
              </w:rPr>
              <w:t>Impulsar la implementación y el seguimiento de los compromisos derivados de Planes de Acción de la Alianza para el Gobierno Abierto que contribuyan al bienestar del pueblo de México.</w:t>
            </w:r>
          </w:p>
        </w:tc>
        <w:tc>
          <w:tcPr>
            <w:tcW w:w="4518" w:type="dxa"/>
            <w:shd w:val="clear" w:color="auto" w:fill="auto"/>
          </w:tcPr>
          <w:p w14:paraId="0CA60B55" w14:textId="156E786F" w:rsidR="001409D0" w:rsidRPr="004B29FE" w:rsidRDefault="001409D0" w:rsidP="001F05E5">
            <w:pPr>
              <w:spacing w:after="0" w:line="240" w:lineRule="auto"/>
              <w:jc w:val="both"/>
              <w:rPr>
                <w:rFonts w:ascii="Montserrat" w:hAnsi="Montserrat"/>
                <w:sz w:val="20"/>
                <w:szCs w:val="20"/>
              </w:rPr>
            </w:pPr>
            <w:r w:rsidRPr="004B29FE">
              <w:rPr>
                <w:rFonts w:ascii="Montserrat" w:hAnsi="Montserrat"/>
                <w:sz w:val="20"/>
                <w:szCs w:val="20"/>
              </w:rPr>
              <w:t xml:space="preserve">La Dirección de Gobierno Abierto de la SFP solicitó que las instituciones que no aparecen como responsables reporten esta acción sin avances, en tanto la SFP les notifique la necesidad de participar. </w:t>
            </w:r>
          </w:p>
        </w:tc>
      </w:tr>
      <w:tr w:rsidR="001409D0" w:rsidRPr="001F05E5" w14:paraId="353F9091" w14:textId="40E02509" w:rsidTr="001409D0">
        <w:tc>
          <w:tcPr>
            <w:tcW w:w="446" w:type="dxa"/>
            <w:shd w:val="clear" w:color="auto" w:fill="auto"/>
          </w:tcPr>
          <w:p w14:paraId="6635C81E" w14:textId="0A39EAC9" w:rsidR="001409D0" w:rsidRPr="00B54DE7" w:rsidRDefault="001409D0" w:rsidP="001F05E5">
            <w:pPr>
              <w:spacing w:after="0" w:line="240" w:lineRule="auto"/>
              <w:jc w:val="both"/>
              <w:rPr>
                <w:rFonts w:ascii="Montserrat" w:hAnsi="Montserrat"/>
                <w:sz w:val="20"/>
                <w:szCs w:val="20"/>
              </w:rPr>
            </w:pPr>
            <w:r w:rsidRPr="00B54DE7">
              <w:rPr>
                <w:rFonts w:ascii="Montserrat" w:hAnsi="Montserrat"/>
                <w:sz w:val="20"/>
                <w:szCs w:val="20"/>
              </w:rPr>
              <w:t>CI.8</w:t>
            </w:r>
          </w:p>
        </w:tc>
        <w:tc>
          <w:tcPr>
            <w:tcW w:w="3825" w:type="dxa"/>
            <w:shd w:val="clear" w:color="auto" w:fill="auto"/>
          </w:tcPr>
          <w:p w14:paraId="384B200F" w14:textId="3A5BD136" w:rsidR="001409D0" w:rsidRPr="00BF344F" w:rsidRDefault="001409D0" w:rsidP="0044209B">
            <w:pPr>
              <w:spacing w:after="0" w:line="240" w:lineRule="auto"/>
              <w:rPr>
                <w:rFonts w:ascii="Montserrat" w:hAnsi="Montserrat"/>
                <w:sz w:val="20"/>
                <w:szCs w:val="20"/>
              </w:rPr>
            </w:pPr>
            <w:proofErr w:type="gramStart"/>
            <w:r w:rsidRPr="00AC2376">
              <w:rPr>
                <w:rFonts w:ascii="Montserrat" w:hAnsi="Montserrat"/>
                <w:sz w:val="20"/>
                <w:szCs w:val="20"/>
              </w:rPr>
              <w:t>Asegurar</w:t>
            </w:r>
            <w:proofErr w:type="gramEnd"/>
            <w:r w:rsidRPr="00AC2376">
              <w:rPr>
                <w:rFonts w:ascii="Montserrat" w:hAnsi="Montserrat"/>
                <w:sz w:val="20"/>
                <w:szCs w:val="20"/>
              </w:rPr>
              <w:t xml:space="preserve"> que el personal adscrito a las áreas convocantes asista a la capacitación que proporcione la Secretaría de la Función Pública, en materia de procedimientos administrativos de sanción a licitantes, proveedores y contratistas.</w:t>
            </w:r>
          </w:p>
        </w:tc>
        <w:tc>
          <w:tcPr>
            <w:tcW w:w="4518" w:type="dxa"/>
            <w:shd w:val="clear" w:color="auto" w:fill="auto"/>
          </w:tcPr>
          <w:p w14:paraId="3519AE46" w14:textId="1FB52C1B" w:rsidR="001409D0" w:rsidRPr="0044209B" w:rsidRDefault="001409D0" w:rsidP="001F05E5">
            <w:pPr>
              <w:spacing w:after="0" w:line="240" w:lineRule="auto"/>
              <w:jc w:val="both"/>
              <w:rPr>
                <w:rFonts w:ascii="Montserrat" w:hAnsi="Montserrat"/>
                <w:sz w:val="20"/>
                <w:szCs w:val="20"/>
              </w:rPr>
            </w:pPr>
            <w:r>
              <w:rPr>
                <w:rFonts w:ascii="Montserrat" w:hAnsi="Montserrat"/>
                <w:sz w:val="20"/>
                <w:szCs w:val="20"/>
              </w:rPr>
              <w:t>De momento estos cursos están cerrados a razón de la contingencia sanitaria hasta nuevo aviso, lo que impide el cumplimiento de esta acción.</w:t>
            </w:r>
          </w:p>
        </w:tc>
      </w:tr>
      <w:tr w:rsidR="001409D0" w:rsidRPr="001F05E5" w14:paraId="1A10D423" w14:textId="0FA6C888" w:rsidTr="001409D0">
        <w:tc>
          <w:tcPr>
            <w:tcW w:w="446" w:type="dxa"/>
            <w:shd w:val="clear" w:color="auto" w:fill="auto"/>
          </w:tcPr>
          <w:p w14:paraId="14655870" w14:textId="652373AF" w:rsidR="001409D0" w:rsidRPr="00B54DE7" w:rsidRDefault="001409D0" w:rsidP="001F05E5">
            <w:pPr>
              <w:spacing w:after="0" w:line="240" w:lineRule="auto"/>
              <w:jc w:val="both"/>
              <w:rPr>
                <w:rFonts w:ascii="Montserrat" w:hAnsi="Montserrat"/>
                <w:sz w:val="20"/>
                <w:szCs w:val="20"/>
              </w:rPr>
            </w:pPr>
            <w:r w:rsidRPr="00B54DE7">
              <w:rPr>
                <w:rFonts w:ascii="Montserrat" w:hAnsi="Montserrat"/>
                <w:sz w:val="20"/>
                <w:szCs w:val="20"/>
              </w:rPr>
              <w:t>CI.9</w:t>
            </w:r>
          </w:p>
        </w:tc>
        <w:tc>
          <w:tcPr>
            <w:tcW w:w="3825" w:type="dxa"/>
            <w:shd w:val="clear" w:color="auto" w:fill="auto"/>
          </w:tcPr>
          <w:p w14:paraId="0EFE76B7" w14:textId="3726FE66" w:rsidR="001409D0" w:rsidRPr="001F05E5" w:rsidRDefault="001409D0" w:rsidP="0044209B">
            <w:pPr>
              <w:spacing w:after="0" w:line="240" w:lineRule="auto"/>
              <w:rPr>
                <w:rFonts w:ascii="Montserrat" w:hAnsi="Montserrat"/>
                <w:sz w:val="20"/>
                <w:szCs w:val="20"/>
              </w:rPr>
            </w:pPr>
            <w:r w:rsidRPr="00BF344F">
              <w:rPr>
                <w:rFonts w:ascii="Montserrat" w:hAnsi="Montserrat"/>
                <w:sz w:val="20"/>
                <w:szCs w:val="20"/>
              </w:rPr>
              <w:t>Denunciar o dar vista a la Secretaría de la Función Pública de los actos o hechos presuntamente constitutivos de infracciones a las disposiciones en materia de contrataciones públicas, que cometan los licitantes, proveedores o contratistas.</w:t>
            </w:r>
          </w:p>
        </w:tc>
        <w:tc>
          <w:tcPr>
            <w:tcW w:w="4518" w:type="dxa"/>
            <w:shd w:val="clear" w:color="auto" w:fill="auto"/>
          </w:tcPr>
          <w:p w14:paraId="531CFC88" w14:textId="60FABDDA" w:rsidR="001409D0" w:rsidRPr="001F05E5" w:rsidRDefault="001409D0" w:rsidP="001F05E5">
            <w:pPr>
              <w:spacing w:after="0" w:line="240" w:lineRule="auto"/>
              <w:jc w:val="both"/>
              <w:rPr>
                <w:rFonts w:ascii="Montserrat" w:hAnsi="Montserrat"/>
                <w:sz w:val="20"/>
                <w:szCs w:val="20"/>
              </w:rPr>
            </w:pPr>
            <w:r w:rsidRPr="0044209B">
              <w:rPr>
                <w:rFonts w:ascii="Montserrat" w:hAnsi="Montserrat"/>
                <w:sz w:val="20"/>
                <w:szCs w:val="20"/>
              </w:rPr>
              <w:t xml:space="preserve">Durante </w:t>
            </w:r>
            <w:r>
              <w:rPr>
                <w:rFonts w:ascii="Montserrat" w:hAnsi="Montserrat"/>
                <w:sz w:val="20"/>
                <w:szCs w:val="20"/>
              </w:rPr>
              <w:t>2020</w:t>
            </w:r>
            <w:r w:rsidRPr="0044209B">
              <w:rPr>
                <w:rFonts w:ascii="Montserrat" w:hAnsi="Montserrat"/>
                <w:sz w:val="20"/>
                <w:szCs w:val="20"/>
              </w:rPr>
              <w:t>, ECOSUR no ha tomado conocimiento de actos o hechos merecedores de denuncias ante la Secretaría de la Función Pública</w:t>
            </w:r>
            <w:r>
              <w:rPr>
                <w:rFonts w:ascii="Montserrat" w:hAnsi="Montserrat"/>
                <w:sz w:val="20"/>
                <w:szCs w:val="20"/>
              </w:rPr>
              <w:t>.</w:t>
            </w:r>
            <w:r w:rsidRPr="0044209B">
              <w:rPr>
                <w:rFonts w:ascii="Montserrat" w:hAnsi="Montserrat"/>
                <w:sz w:val="20"/>
                <w:szCs w:val="20"/>
              </w:rPr>
              <w:t xml:space="preserve"> </w:t>
            </w:r>
            <w:r>
              <w:rPr>
                <w:rFonts w:ascii="Montserrat" w:hAnsi="Montserrat"/>
                <w:sz w:val="20"/>
                <w:szCs w:val="20"/>
              </w:rPr>
              <w:t>P</w:t>
            </w:r>
            <w:r w:rsidRPr="0044209B">
              <w:rPr>
                <w:rFonts w:ascii="Montserrat" w:hAnsi="Montserrat"/>
                <w:sz w:val="20"/>
                <w:szCs w:val="20"/>
              </w:rPr>
              <w:t>or lo tanto</w:t>
            </w:r>
            <w:r>
              <w:rPr>
                <w:rFonts w:ascii="Montserrat" w:hAnsi="Montserrat"/>
                <w:sz w:val="20"/>
                <w:szCs w:val="20"/>
              </w:rPr>
              <w:t>,</w:t>
            </w:r>
            <w:r w:rsidRPr="0044209B">
              <w:rPr>
                <w:rFonts w:ascii="Montserrat" w:hAnsi="Montserrat"/>
                <w:sz w:val="20"/>
                <w:szCs w:val="20"/>
              </w:rPr>
              <w:t xml:space="preserve"> no existe información que reportar.</w:t>
            </w:r>
          </w:p>
        </w:tc>
      </w:tr>
      <w:tr w:rsidR="001409D0" w:rsidRPr="001F05E5" w14:paraId="0BA2059A" w14:textId="01E5C5DD" w:rsidTr="001409D0">
        <w:tc>
          <w:tcPr>
            <w:tcW w:w="446" w:type="dxa"/>
            <w:shd w:val="clear" w:color="auto" w:fill="auto"/>
          </w:tcPr>
          <w:p w14:paraId="12A6F751" w14:textId="38EBF07B" w:rsidR="001409D0" w:rsidRPr="00B54DE7" w:rsidRDefault="001409D0" w:rsidP="001F05E5">
            <w:pPr>
              <w:spacing w:after="0" w:line="240" w:lineRule="auto"/>
              <w:jc w:val="both"/>
              <w:rPr>
                <w:rFonts w:ascii="Montserrat" w:hAnsi="Montserrat"/>
                <w:sz w:val="20"/>
                <w:szCs w:val="20"/>
              </w:rPr>
            </w:pPr>
            <w:r w:rsidRPr="00B54DE7">
              <w:rPr>
                <w:rFonts w:ascii="Montserrat" w:hAnsi="Montserrat"/>
                <w:sz w:val="20"/>
                <w:szCs w:val="20"/>
              </w:rPr>
              <w:t>CI.10</w:t>
            </w:r>
          </w:p>
        </w:tc>
        <w:tc>
          <w:tcPr>
            <w:tcW w:w="3825" w:type="dxa"/>
            <w:shd w:val="clear" w:color="auto" w:fill="auto"/>
          </w:tcPr>
          <w:p w14:paraId="2A6AA589" w14:textId="49154ADC" w:rsidR="001409D0" w:rsidRPr="001F05E5" w:rsidRDefault="001409D0" w:rsidP="00BF344F">
            <w:pPr>
              <w:spacing w:after="0" w:line="240" w:lineRule="auto"/>
              <w:rPr>
                <w:rFonts w:ascii="Montserrat" w:hAnsi="Montserrat"/>
                <w:sz w:val="20"/>
                <w:szCs w:val="20"/>
              </w:rPr>
            </w:pPr>
            <w:r w:rsidRPr="0044209B">
              <w:rPr>
                <w:rFonts w:ascii="Montserrat" w:hAnsi="Montserrat"/>
                <w:sz w:val="20"/>
                <w:szCs w:val="20"/>
              </w:rPr>
              <w:t>Remitir a la Secretaría de la Función Pública la documentación comprobatoria de los hechos presumiblemente constitutivos de infracción, dentro de los 15 días naturales a la fecha en que tengan conocimiento de alguna infracción a las disposiciones en materia de contrataciones públicas, conforme a lo establecido en la normatividad aplicable.</w:t>
            </w:r>
          </w:p>
        </w:tc>
        <w:tc>
          <w:tcPr>
            <w:tcW w:w="4518" w:type="dxa"/>
            <w:shd w:val="clear" w:color="auto" w:fill="auto"/>
          </w:tcPr>
          <w:p w14:paraId="585D3AB5" w14:textId="3E4EA52E" w:rsidR="001409D0" w:rsidRPr="001F05E5" w:rsidRDefault="001409D0" w:rsidP="001F05E5">
            <w:pPr>
              <w:spacing w:after="0" w:line="240" w:lineRule="auto"/>
              <w:jc w:val="both"/>
              <w:rPr>
                <w:rFonts w:ascii="Montserrat" w:hAnsi="Montserrat"/>
                <w:sz w:val="20"/>
                <w:szCs w:val="20"/>
              </w:rPr>
            </w:pPr>
            <w:r w:rsidRPr="00007E97">
              <w:rPr>
                <w:rFonts w:ascii="Montserrat" w:hAnsi="Montserrat"/>
                <w:sz w:val="20"/>
                <w:szCs w:val="20"/>
              </w:rPr>
              <w:t xml:space="preserve">Durante </w:t>
            </w:r>
            <w:r>
              <w:rPr>
                <w:rFonts w:ascii="Montserrat" w:hAnsi="Montserrat"/>
                <w:sz w:val="20"/>
                <w:szCs w:val="20"/>
              </w:rPr>
              <w:t>2020</w:t>
            </w:r>
            <w:r w:rsidRPr="00007E97">
              <w:rPr>
                <w:rFonts w:ascii="Montserrat" w:hAnsi="Montserrat"/>
                <w:sz w:val="20"/>
                <w:szCs w:val="20"/>
              </w:rPr>
              <w:t>, ECOSUR no ha tomado conocimiento de denuncias remitidas la Secretaría de la Función Pública, por lo tanto</w:t>
            </w:r>
            <w:r>
              <w:rPr>
                <w:rFonts w:ascii="Montserrat" w:hAnsi="Montserrat"/>
                <w:sz w:val="20"/>
                <w:szCs w:val="20"/>
              </w:rPr>
              <w:t>,</w:t>
            </w:r>
            <w:r w:rsidRPr="00007E97">
              <w:rPr>
                <w:rFonts w:ascii="Montserrat" w:hAnsi="Montserrat"/>
                <w:sz w:val="20"/>
                <w:szCs w:val="20"/>
              </w:rPr>
              <w:t xml:space="preserve"> no existe información que reportar.</w:t>
            </w:r>
          </w:p>
        </w:tc>
      </w:tr>
      <w:tr w:rsidR="001409D0" w:rsidRPr="001F05E5" w14:paraId="3662D618" w14:textId="77777777" w:rsidTr="001409D0">
        <w:tc>
          <w:tcPr>
            <w:tcW w:w="446" w:type="dxa"/>
          </w:tcPr>
          <w:p w14:paraId="495E9610" w14:textId="4C574792" w:rsidR="001409D0" w:rsidRPr="00B54DE7" w:rsidRDefault="001409D0" w:rsidP="00140279">
            <w:pPr>
              <w:spacing w:after="0" w:line="240" w:lineRule="auto"/>
              <w:jc w:val="both"/>
              <w:rPr>
                <w:rFonts w:ascii="Montserrat" w:hAnsi="Montserrat"/>
                <w:sz w:val="20"/>
                <w:szCs w:val="20"/>
              </w:rPr>
            </w:pPr>
            <w:r w:rsidRPr="00B54DE7">
              <w:rPr>
                <w:rFonts w:ascii="Montserrat" w:hAnsi="Montserrat"/>
                <w:sz w:val="20"/>
                <w:szCs w:val="20"/>
              </w:rPr>
              <w:t>PRH7</w:t>
            </w:r>
          </w:p>
        </w:tc>
        <w:tc>
          <w:tcPr>
            <w:tcW w:w="3825" w:type="dxa"/>
          </w:tcPr>
          <w:p w14:paraId="4CAFCEBC" w14:textId="77777777" w:rsidR="001409D0" w:rsidRPr="00252D6F" w:rsidRDefault="001409D0" w:rsidP="00140279">
            <w:pPr>
              <w:spacing w:after="0" w:line="240" w:lineRule="auto"/>
              <w:rPr>
                <w:rFonts w:ascii="Montserrat" w:hAnsi="Montserrat"/>
                <w:sz w:val="20"/>
                <w:szCs w:val="20"/>
              </w:rPr>
            </w:pPr>
            <w:r w:rsidRPr="00B54DE7">
              <w:rPr>
                <w:rFonts w:ascii="Montserrat" w:hAnsi="Montserrat"/>
                <w:sz w:val="20"/>
                <w:szCs w:val="20"/>
              </w:rPr>
              <w:t>Actualizar y registrar las estructuras organizacionales, contratos de honorarios y puestos eventuales, evitando la duplicidad de funciones y bajo criterios de eficiencia, transparencia y austeridad.</w:t>
            </w:r>
          </w:p>
        </w:tc>
        <w:tc>
          <w:tcPr>
            <w:tcW w:w="4518" w:type="dxa"/>
          </w:tcPr>
          <w:p w14:paraId="0F9AE3DB" w14:textId="2C481115" w:rsidR="001409D0" w:rsidRDefault="001409D0" w:rsidP="00140279">
            <w:pPr>
              <w:spacing w:after="0" w:line="240" w:lineRule="auto"/>
              <w:jc w:val="both"/>
              <w:rPr>
                <w:rFonts w:ascii="Montserrat" w:hAnsi="Montserrat"/>
                <w:sz w:val="20"/>
                <w:szCs w:val="20"/>
              </w:rPr>
            </w:pPr>
            <w:r w:rsidRPr="00B54DE7">
              <w:rPr>
                <w:rFonts w:ascii="Montserrat" w:hAnsi="Montserrat"/>
                <w:sz w:val="20"/>
                <w:szCs w:val="20"/>
              </w:rPr>
              <w:t xml:space="preserve">Esta acción se lleva a cabo a través de la Coordinadora Sectorial y la SFP. </w:t>
            </w:r>
            <w:r>
              <w:rPr>
                <w:rFonts w:ascii="Montserrat" w:hAnsi="Montserrat"/>
                <w:sz w:val="20"/>
                <w:szCs w:val="20"/>
              </w:rPr>
              <w:t>A la fecha no se ha concretado.</w:t>
            </w:r>
          </w:p>
        </w:tc>
      </w:tr>
      <w:tr w:rsidR="001409D0" w:rsidRPr="001F05E5" w14:paraId="1BC4C337" w14:textId="4001DFD3" w:rsidTr="001409D0">
        <w:tc>
          <w:tcPr>
            <w:tcW w:w="446" w:type="dxa"/>
          </w:tcPr>
          <w:p w14:paraId="1635332B" w14:textId="0E9F4B2D" w:rsidR="001409D0" w:rsidRDefault="001409D0" w:rsidP="001F05E5">
            <w:pPr>
              <w:spacing w:after="0" w:line="240" w:lineRule="auto"/>
              <w:jc w:val="both"/>
              <w:rPr>
                <w:rFonts w:ascii="Montserrat" w:hAnsi="Montserrat"/>
                <w:sz w:val="20"/>
                <w:szCs w:val="20"/>
              </w:rPr>
            </w:pPr>
            <w:r w:rsidRPr="00B54DE7">
              <w:rPr>
                <w:rFonts w:ascii="Montserrat" w:hAnsi="Montserrat"/>
                <w:sz w:val="20"/>
                <w:szCs w:val="20"/>
              </w:rPr>
              <w:t>PRH.10</w:t>
            </w:r>
          </w:p>
        </w:tc>
        <w:tc>
          <w:tcPr>
            <w:tcW w:w="3825" w:type="dxa"/>
          </w:tcPr>
          <w:p w14:paraId="11F8B744" w14:textId="031CC078" w:rsidR="001409D0" w:rsidRPr="00252D6F" w:rsidRDefault="001409D0" w:rsidP="00252D6F">
            <w:pPr>
              <w:spacing w:after="0" w:line="240" w:lineRule="auto"/>
              <w:rPr>
                <w:rFonts w:ascii="Montserrat" w:hAnsi="Montserrat"/>
                <w:sz w:val="20"/>
                <w:szCs w:val="20"/>
              </w:rPr>
            </w:pPr>
            <w:r w:rsidRPr="00252D6F">
              <w:rPr>
                <w:rFonts w:ascii="Montserrat" w:hAnsi="Montserrat"/>
                <w:sz w:val="20"/>
                <w:szCs w:val="20"/>
              </w:rPr>
              <w:t xml:space="preserve">Proponer al Comité de Control y Desempeño Institucional los </w:t>
            </w:r>
            <w:r w:rsidRPr="00252D6F">
              <w:rPr>
                <w:rFonts w:ascii="Montserrat" w:hAnsi="Montserrat"/>
                <w:sz w:val="20"/>
                <w:szCs w:val="20"/>
              </w:rPr>
              <w:lastRenderedPageBreak/>
              <w:t>acuerdos que permitan dar cumplimiento a las disposiciones normativas en materia de funciones del servicio público.</w:t>
            </w:r>
          </w:p>
        </w:tc>
        <w:tc>
          <w:tcPr>
            <w:tcW w:w="4518" w:type="dxa"/>
          </w:tcPr>
          <w:p w14:paraId="0D9B597D" w14:textId="7BF2EA3A" w:rsidR="001409D0" w:rsidRDefault="001409D0" w:rsidP="001F05E5">
            <w:pPr>
              <w:spacing w:after="0" w:line="240" w:lineRule="auto"/>
              <w:jc w:val="both"/>
              <w:rPr>
                <w:rFonts w:ascii="Montserrat" w:hAnsi="Montserrat"/>
                <w:sz w:val="20"/>
                <w:szCs w:val="20"/>
              </w:rPr>
            </w:pPr>
            <w:r>
              <w:rPr>
                <w:rFonts w:ascii="Montserrat" w:hAnsi="Montserrat"/>
                <w:sz w:val="20"/>
                <w:szCs w:val="20"/>
              </w:rPr>
              <w:lastRenderedPageBreak/>
              <w:t xml:space="preserve">La institución está revisando y analizando su Estatuto Orgánico y su </w:t>
            </w:r>
            <w:r>
              <w:rPr>
                <w:rFonts w:ascii="Montserrat" w:hAnsi="Montserrat"/>
                <w:sz w:val="20"/>
                <w:szCs w:val="20"/>
              </w:rPr>
              <w:lastRenderedPageBreak/>
              <w:t xml:space="preserve">Manual General de Organización para su actualización. En </w:t>
            </w:r>
            <w:r w:rsidR="00912265">
              <w:rPr>
                <w:rFonts w:ascii="Montserrat" w:hAnsi="Montserrat"/>
                <w:sz w:val="20"/>
                <w:szCs w:val="20"/>
              </w:rPr>
              <w:t>2020 no se presentaron acuerdos al respecto ante el COCODI.</w:t>
            </w:r>
          </w:p>
        </w:tc>
      </w:tr>
    </w:tbl>
    <w:p w14:paraId="6428B215" w14:textId="77777777" w:rsidR="00B95225" w:rsidRDefault="00B95225" w:rsidP="00B95225">
      <w:pPr>
        <w:spacing w:after="0" w:line="276" w:lineRule="auto"/>
        <w:jc w:val="both"/>
        <w:rPr>
          <w:rFonts w:ascii="Montserrat" w:hAnsi="Montserrat"/>
        </w:rPr>
      </w:pPr>
    </w:p>
    <w:p w14:paraId="6B2B06F6" w14:textId="30B68998" w:rsidR="00653DDA" w:rsidRDefault="00653DDA" w:rsidP="00804936">
      <w:pPr>
        <w:spacing w:line="276" w:lineRule="auto"/>
        <w:jc w:val="both"/>
        <w:rPr>
          <w:rFonts w:ascii="Montserrat" w:hAnsi="Montserrat"/>
        </w:rPr>
      </w:pPr>
      <w:r>
        <w:rPr>
          <w:rFonts w:ascii="Montserrat" w:hAnsi="Montserrat"/>
        </w:rPr>
        <w:t xml:space="preserve">En cuanto a los 40 compromisos reportados con </w:t>
      </w:r>
      <w:r w:rsidR="00DD0276">
        <w:rPr>
          <w:rFonts w:ascii="Montserrat" w:hAnsi="Montserrat"/>
        </w:rPr>
        <w:t>avances</w:t>
      </w:r>
      <w:r>
        <w:rPr>
          <w:rFonts w:ascii="Montserrat" w:hAnsi="Montserrat"/>
        </w:rPr>
        <w:t xml:space="preserve">, </w:t>
      </w:r>
      <w:r w:rsidR="00DD0276">
        <w:rPr>
          <w:rFonts w:ascii="Montserrat" w:hAnsi="Montserrat"/>
        </w:rPr>
        <w:t xml:space="preserve">el porcentaje de estos de distribuye </w:t>
      </w:r>
      <w:r>
        <w:rPr>
          <w:rFonts w:ascii="Montserrat" w:hAnsi="Montserrat"/>
        </w:rPr>
        <w:t>de la siguiente manera</w:t>
      </w:r>
      <w:r w:rsidR="00DD0276">
        <w:rPr>
          <w:rFonts w:ascii="Montserrat" w:hAnsi="Montserrat"/>
        </w:rPr>
        <w:t xml:space="preserve"> (véase Anexo compromisos)</w:t>
      </w:r>
      <w:r>
        <w:rPr>
          <w:rFonts w:ascii="Montserrat" w:hAnsi="Montserrat"/>
        </w:rPr>
        <w:t>:</w:t>
      </w:r>
    </w:p>
    <w:p w14:paraId="4B2044AB" w14:textId="2910C5C4" w:rsidR="00653DDA" w:rsidRPr="00B4056D" w:rsidRDefault="00653DDA" w:rsidP="00653DDA">
      <w:pPr>
        <w:spacing w:after="0" w:line="276" w:lineRule="auto"/>
        <w:jc w:val="both"/>
        <w:rPr>
          <w:rFonts w:ascii="Montserrat" w:hAnsi="Montserrat"/>
          <w:sz w:val="20"/>
          <w:szCs w:val="20"/>
        </w:rPr>
      </w:pPr>
      <w:r w:rsidRPr="00B4056D">
        <w:rPr>
          <w:rFonts w:ascii="Montserrat" w:hAnsi="Montserrat"/>
          <w:sz w:val="20"/>
          <w:szCs w:val="20"/>
        </w:rPr>
        <w:t xml:space="preserve">Tabla. % de avances </w:t>
      </w:r>
      <w:r w:rsidR="0032333E">
        <w:rPr>
          <w:rFonts w:ascii="Montserrat" w:hAnsi="Montserrat"/>
          <w:sz w:val="20"/>
          <w:szCs w:val="20"/>
        </w:rPr>
        <w:t>de cada uno de los 40</w:t>
      </w:r>
      <w:r w:rsidRPr="00B4056D">
        <w:rPr>
          <w:rFonts w:ascii="Montserrat" w:hAnsi="Montserrat"/>
          <w:sz w:val="20"/>
          <w:szCs w:val="20"/>
        </w:rPr>
        <w:t xml:space="preserve"> compromiso</w:t>
      </w:r>
      <w:r w:rsidR="0032333E">
        <w:rPr>
          <w:rFonts w:ascii="Montserrat" w:hAnsi="Montserrat"/>
          <w:sz w:val="20"/>
          <w:szCs w:val="20"/>
        </w:rPr>
        <w:t>s</w:t>
      </w:r>
    </w:p>
    <w:tbl>
      <w:tblPr>
        <w:tblStyle w:val="Tablaconcuadrcula"/>
        <w:tblW w:w="0" w:type="auto"/>
        <w:tblLook w:val="04A0" w:firstRow="1" w:lastRow="0" w:firstColumn="1" w:lastColumn="0" w:noHBand="0" w:noVBand="1"/>
      </w:tblPr>
      <w:tblGrid>
        <w:gridCol w:w="1838"/>
        <w:gridCol w:w="2576"/>
        <w:gridCol w:w="2207"/>
        <w:gridCol w:w="2207"/>
      </w:tblGrid>
      <w:tr w:rsidR="00B4056D" w14:paraId="5C55C011" w14:textId="77777777" w:rsidTr="00B4056D">
        <w:tc>
          <w:tcPr>
            <w:tcW w:w="1838" w:type="dxa"/>
          </w:tcPr>
          <w:p w14:paraId="1208991B" w14:textId="17D6C4CE" w:rsidR="00B4056D" w:rsidRPr="00B4056D" w:rsidRDefault="00B4056D" w:rsidP="00B4056D">
            <w:pPr>
              <w:spacing w:after="0" w:line="240" w:lineRule="auto"/>
              <w:jc w:val="center"/>
              <w:rPr>
                <w:rFonts w:ascii="Montserrat" w:hAnsi="Montserrat"/>
                <w:sz w:val="20"/>
                <w:szCs w:val="20"/>
              </w:rPr>
            </w:pPr>
            <w:r>
              <w:rPr>
                <w:rFonts w:ascii="Montserrat" w:hAnsi="Montserrat"/>
                <w:sz w:val="20"/>
                <w:szCs w:val="20"/>
              </w:rPr>
              <w:t>N/A</w:t>
            </w:r>
          </w:p>
        </w:tc>
        <w:tc>
          <w:tcPr>
            <w:tcW w:w="2576" w:type="dxa"/>
          </w:tcPr>
          <w:p w14:paraId="6EE66E95" w14:textId="517EA7FF" w:rsidR="00B4056D" w:rsidRPr="00B4056D" w:rsidRDefault="00B4056D" w:rsidP="00B4056D">
            <w:pPr>
              <w:spacing w:after="0" w:line="240" w:lineRule="auto"/>
              <w:jc w:val="center"/>
              <w:rPr>
                <w:rFonts w:ascii="Montserrat" w:hAnsi="Montserrat"/>
                <w:sz w:val="20"/>
                <w:szCs w:val="20"/>
              </w:rPr>
            </w:pPr>
            <w:r w:rsidRPr="00B4056D">
              <w:rPr>
                <w:rFonts w:ascii="Montserrat" w:hAnsi="Montserrat"/>
                <w:sz w:val="20"/>
                <w:szCs w:val="20"/>
              </w:rPr>
              <w:t>Menos o igual a 50%</w:t>
            </w:r>
          </w:p>
        </w:tc>
        <w:tc>
          <w:tcPr>
            <w:tcW w:w="2207" w:type="dxa"/>
          </w:tcPr>
          <w:p w14:paraId="192D38CD" w14:textId="05DB1DB6" w:rsidR="00B4056D" w:rsidRPr="00B4056D" w:rsidRDefault="00B4056D" w:rsidP="00B4056D">
            <w:pPr>
              <w:spacing w:after="0" w:line="240" w:lineRule="auto"/>
              <w:jc w:val="center"/>
              <w:rPr>
                <w:rFonts w:ascii="Montserrat" w:hAnsi="Montserrat"/>
                <w:sz w:val="20"/>
                <w:szCs w:val="20"/>
              </w:rPr>
            </w:pPr>
            <w:r w:rsidRPr="00B4056D">
              <w:rPr>
                <w:rFonts w:ascii="Montserrat" w:hAnsi="Montserrat"/>
                <w:sz w:val="20"/>
                <w:szCs w:val="20"/>
              </w:rPr>
              <w:t>Entre 50 y 99%</w:t>
            </w:r>
          </w:p>
        </w:tc>
        <w:tc>
          <w:tcPr>
            <w:tcW w:w="2207" w:type="dxa"/>
          </w:tcPr>
          <w:p w14:paraId="76E8CEE3" w14:textId="3965DCC6" w:rsidR="00B4056D" w:rsidRPr="00B4056D" w:rsidRDefault="00B4056D" w:rsidP="00B4056D">
            <w:pPr>
              <w:spacing w:after="0" w:line="240" w:lineRule="auto"/>
              <w:jc w:val="center"/>
              <w:rPr>
                <w:rFonts w:ascii="Montserrat" w:hAnsi="Montserrat"/>
                <w:sz w:val="20"/>
                <w:szCs w:val="20"/>
              </w:rPr>
            </w:pPr>
            <w:r w:rsidRPr="00B4056D">
              <w:rPr>
                <w:rFonts w:ascii="Montserrat" w:hAnsi="Montserrat"/>
                <w:sz w:val="20"/>
                <w:szCs w:val="20"/>
              </w:rPr>
              <w:t>100%</w:t>
            </w:r>
          </w:p>
        </w:tc>
      </w:tr>
      <w:tr w:rsidR="00B4056D" w14:paraId="7CAC1566" w14:textId="77777777" w:rsidTr="00B4056D">
        <w:tc>
          <w:tcPr>
            <w:tcW w:w="1838" w:type="dxa"/>
          </w:tcPr>
          <w:p w14:paraId="0AD83188" w14:textId="729338C3" w:rsidR="00B4056D" w:rsidRPr="00B4056D" w:rsidRDefault="00253093" w:rsidP="00B4056D">
            <w:pPr>
              <w:spacing w:after="0" w:line="240" w:lineRule="auto"/>
              <w:jc w:val="center"/>
              <w:rPr>
                <w:rFonts w:ascii="Montserrat" w:hAnsi="Montserrat"/>
                <w:sz w:val="20"/>
                <w:szCs w:val="20"/>
              </w:rPr>
            </w:pPr>
            <w:r>
              <w:rPr>
                <w:rFonts w:ascii="Montserrat" w:hAnsi="Montserrat"/>
                <w:sz w:val="20"/>
                <w:szCs w:val="20"/>
              </w:rPr>
              <w:t>1</w:t>
            </w:r>
          </w:p>
        </w:tc>
        <w:tc>
          <w:tcPr>
            <w:tcW w:w="2576" w:type="dxa"/>
          </w:tcPr>
          <w:p w14:paraId="22F0DC1D" w14:textId="74859738" w:rsidR="00B4056D" w:rsidRPr="00B4056D" w:rsidRDefault="00253093" w:rsidP="00B4056D">
            <w:pPr>
              <w:spacing w:after="0" w:line="240" w:lineRule="auto"/>
              <w:jc w:val="center"/>
              <w:rPr>
                <w:rFonts w:ascii="Montserrat" w:hAnsi="Montserrat"/>
                <w:sz w:val="20"/>
                <w:szCs w:val="20"/>
              </w:rPr>
            </w:pPr>
            <w:r>
              <w:rPr>
                <w:rFonts w:ascii="Montserrat" w:hAnsi="Montserrat"/>
                <w:sz w:val="20"/>
                <w:szCs w:val="20"/>
              </w:rPr>
              <w:t>5</w:t>
            </w:r>
          </w:p>
        </w:tc>
        <w:tc>
          <w:tcPr>
            <w:tcW w:w="2207" w:type="dxa"/>
          </w:tcPr>
          <w:p w14:paraId="0D3916BC" w14:textId="3CEC688D" w:rsidR="00B4056D" w:rsidRPr="00B4056D" w:rsidRDefault="00253093" w:rsidP="00B4056D">
            <w:pPr>
              <w:spacing w:after="0" w:line="240" w:lineRule="auto"/>
              <w:jc w:val="center"/>
              <w:rPr>
                <w:rFonts w:ascii="Montserrat" w:hAnsi="Montserrat"/>
                <w:sz w:val="20"/>
                <w:szCs w:val="20"/>
              </w:rPr>
            </w:pPr>
            <w:r>
              <w:rPr>
                <w:rFonts w:ascii="Montserrat" w:hAnsi="Montserrat"/>
                <w:sz w:val="20"/>
                <w:szCs w:val="20"/>
              </w:rPr>
              <w:t>6</w:t>
            </w:r>
          </w:p>
        </w:tc>
        <w:tc>
          <w:tcPr>
            <w:tcW w:w="2207" w:type="dxa"/>
          </w:tcPr>
          <w:p w14:paraId="6229E7BC" w14:textId="6006DB47" w:rsidR="00B4056D" w:rsidRPr="00B4056D" w:rsidRDefault="00B4056D" w:rsidP="00B4056D">
            <w:pPr>
              <w:spacing w:after="0" w:line="240" w:lineRule="auto"/>
              <w:jc w:val="center"/>
              <w:rPr>
                <w:rFonts w:ascii="Montserrat" w:hAnsi="Montserrat"/>
                <w:sz w:val="20"/>
                <w:szCs w:val="20"/>
              </w:rPr>
            </w:pPr>
            <w:r>
              <w:rPr>
                <w:rFonts w:ascii="Montserrat" w:hAnsi="Montserrat"/>
                <w:sz w:val="20"/>
                <w:szCs w:val="20"/>
              </w:rPr>
              <w:t>2</w:t>
            </w:r>
            <w:r w:rsidR="0032333E">
              <w:rPr>
                <w:rFonts w:ascii="Montserrat" w:hAnsi="Montserrat"/>
                <w:sz w:val="20"/>
                <w:szCs w:val="20"/>
              </w:rPr>
              <w:t>8</w:t>
            </w:r>
          </w:p>
        </w:tc>
      </w:tr>
    </w:tbl>
    <w:p w14:paraId="229888EA" w14:textId="30397771" w:rsidR="00B4056D" w:rsidRDefault="00B4056D" w:rsidP="00B4056D">
      <w:pPr>
        <w:spacing w:after="0" w:line="276" w:lineRule="auto"/>
        <w:jc w:val="both"/>
        <w:rPr>
          <w:rFonts w:ascii="Montserrat" w:hAnsi="Montserrat"/>
        </w:rPr>
      </w:pPr>
    </w:p>
    <w:p w14:paraId="27A7F0A3" w14:textId="3DC51039" w:rsidR="00B4056D" w:rsidRDefault="00B4056D" w:rsidP="00B4056D">
      <w:pPr>
        <w:spacing w:after="0" w:line="276" w:lineRule="auto"/>
        <w:jc w:val="both"/>
        <w:rPr>
          <w:rFonts w:ascii="Montserrat" w:hAnsi="Montserrat"/>
        </w:rPr>
      </w:pPr>
      <w:r>
        <w:rPr>
          <w:rFonts w:ascii="Montserrat" w:hAnsi="Montserrat"/>
        </w:rPr>
        <w:t xml:space="preserve">El porcentaje promedio de avance, de acuerdo </w:t>
      </w:r>
      <w:r w:rsidR="00F2205A">
        <w:rPr>
          <w:rFonts w:ascii="Montserrat" w:hAnsi="Montserrat"/>
        </w:rPr>
        <w:t>con el</w:t>
      </w:r>
      <w:r>
        <w:rPr>
          <w:rFonts w:ascii="Montserrat" w:hAnsi="Montserrat"/>
        </w:rPr>
        <w:t xml:space="preserve"> compromiso institucional anual</w:t>
      </w:r>
      <w:r w:rsidR="00B9131B">
        <w:rPr>
          <w:rFonts w:ascii="Montserrat" w:hAnsi="Montserrat"/>
        </w:rPr>
        <w:t>,</w:t>
      </w:r>
      <w:r w:rsidR="00B9131B" w:rsidRPr="00B9131B">
        <w:rPr>
          <w:rFonts w:ascii="Montserrat" w:hAnsi="Montserrat"/>
        </w:rPr>
        <w:t xml:space="preserve"> </w:t>
      </w:r>
      <w:r w:rsidR="00B9131B">
        <w:rPr>
          <w:rFonts w:ascii="Montserrat" w:hAnsi="Montserrat"/>
        </w:rPr>
        <w:t xml:space="preserve">se calculó </w:t>
      </w:r>
      <w:r w:rsidR="00F05DBF">
        <w:rPr>
          <w:rFonts w:ascii="Montserrat" w:hAnsi="Montserrat"/>
        </w:rPr>
        <w:t>en</w:t>
      </w:r>
      <w:r w:rsidR="00B9131B">
        <w:rPr>
          <w:rFonts w:ascii="Montserrat" w:hAnsi="Montserrat"/>
        </w:rPr>
        <w:t xml:space="preserve"> 8</w:t>
      </w:r>
      <w:r w:rsidR="0032333E">
        <w:rPr>
          <w:rFonts w:ascii="Montserrat" w:hAnsi="Montserrat"/>
        </w:rPr>
        <w:t>8.5</w:t>
      </w:r>
      <w:r w:rsidR="00B9131B">
        <w:rPr>
          <w:rFonts w:ascii="Montserrat" w:hAnsi="Montserrat"/>
        </w:rPr>
        <w:t>%</w:t>
      </w:r>
      <w:r>
        <w:rPr>
          <w:rFonts w:ascii="Montserrat" w:hAnsi="Montserrat"/>
        </w:rPr>
        <w:t>.</w:t>
      </w:r>
      <w:r w:rsidR="00B9131B">
        <w:rPr>
          <w:rFonts w:ascii="Montserrat" w:hAnsi="Montserrat"/>
        </w:rPr>
        <w:t xml:space="preserve"> </w:t>
      </w:r>
      <w:r w:rsidR="00F2205A">
        <w:rPr>
          <w:rFonts w:ascii="Montserrat" w:hAnsi="Montserrat"/>
        </w:rPr>
        <w:t xml:space="preserve">Los compromisos menos avanzados </w:t>
      </w:r>
      <w:r w:rsidR="00B9131B">
        <w:rPr>
          <w:rFonts w:ascii="Montserrat" w:hAnsi="Montserrat"/>
        </w:rPr>
        <w:t xml:space="preserve">son aquellos que requieren de un paso anterior, como es la automatización, acción posterior a la actualización y simplificación de procesos. Igualmente, las acciones relacionadas con la estructura orgánica </w:t>
      </w:r>
      <w:r w:rsidR="00661DC1">
        <w:rPr>
          <w:rFonts w:ascii="Montserrat" w:hAnsi="Montserrat"/>
        </w:rPr>
        <w:t>se deben de analizar junto</w:t>
      </w:r>
      <w:r w:rsidR="00B9131B">
        <w:rPr>
          <w:rFonts w:ascii="Montserrat" w:hAnsi="Montserrat"/>
        </w:rPr>
        <w:t xml:space="preserve"> con la cabeza de sector</w:t>
      </w:r>
      <w:r w:rsidR="00311DF4">
        <w:rPr>
          <w:rFonts w:ascii="Montserrat" w:hAnsi="Montserrat"/>
        </w:rPr>
        <w:t>,</w:t>
      </w:r>
      <w:r w:rsidR="00B9131B">
        <w:rPr>
          <w:rFonts w:ascii="Montserrat" w:hAnsi="Montserrat"/>
        </w:rPr>
        <w:t xml:space="preserve"> </w:t>
      </w:r>
      <w:r w:rsidR="00661DC1">
        <w:rPr>
          <w:rFonts w:ascii="Montserrat" w:hAnsi="Montserrat"/>
        </w:rPr>
        <w:t>pero</w:t>
      </w:r>
      <w:r w:rsidR="00B9131B">
        <w:rPr>
          <w:rFonts w:ascii="Montserrat" w:hAnsi="Montserrat"/>
        </w:rPr>
        <w:t xml:space="preserve"> aún se ubica a un nivel incipiente. </w:t>
      </w:r>
    </w:p>
    <w:p w14:paraId="1A405290" w14:textId="5DD98C2B" w:rsidR="00B9131B" w:rsidRDefault="00B9131B" w:rsidP="00B4056D">
      <w:pPr>
        <w:spacing w:after="0" w:line="276" w:lineRule="auto"/>
        <w:jc w:val="both"/>
        <w:rPr>
          <w:rFonts w:ascii="Montserrat" w:hAnsi="Montserrat"/>
        </w:rPr>
      </w:pPr>
    </w:p>
    <w:p w14:paraId="0F97DD55" w14:textId="0FA1340E" w:rsidR="006F3551" w:rsidRDefault="006F3551" w:rsidP="00692ACE">
      <w:pPr>
        <w:spacing w:line="276" w:lineRule="auto"/>
        <w:jc w:val="both"/>
        <w:rPr>
          <w:rFonts w:ascii="Montserrat" w:hAnsi="Montserrat"/>
        </w:rPr>
      </w:pPr>
      <w:r>
        <w:rPr>
          <w:rFonts w:ascii="Montserrat" w:hAnsi="Montserrat"/>
        </w:rPr>
        <w:t>Las evidencias del reporte fueron entregadas al Órgano Interno de Control en ECOSUR, por ser la instancia de supervisión de</w:t>
      </w:r>
      <w:r w:rsidR="001A3F34">
        <w:rPr>
          <w:rFonts w:ascii="Montserrat" w:hAnsi="Montserrat"/>
        </w:rPr>
        <w:t xml:space="preserve"> este</w:t>
      </w:r>
      <w:r>
        <w:rPr>
          <w:rFonts w:ascii="Montserrat" w:hAnsi="Montserrat"/>
        </w:rPr>
        <w:t xml:space="preserve"> Programa en la institución.</w:t>
      </w:r>
    </w:p>
    <w:p w14:paraId="21DF5582" w14:textId="77777777" w:rsidR="00B95225" w:rsidRDefault="00B95225" w:rsidP="00B95225">
      <w:pPr>
        <w:spacing w:line="276" w:lineRule="auto"/>
        <w:jc w:val="center"/>
        <w:rPr>
          <w:rFonts w:ascii="Montserrat" w:hAnsi="Montserrat"/>
        </w:rPr>
      </w:pPr>
    </w:p>
    <w:p w14:paraId="3BE71E19" w14:textId="3B6B63C5" w:rsidR="00D12C48" w:rsidRDefault="00B95225" w:rsidP="00B95225">
      <w:pPr>
        <w:spacing w:line="276" w:lineRule="auto"/>
        <w:jc w:val="center"/>
        <w:rPr>
          <w:rFonts w:ascii="Montserrat" w:hAnsi="Montserrat"/>
        </w:rPr>
      </w:pPr>
      <w:r>
        <w:rPr>
          <w:rFonts w:ascii="Montserrat" w:hAnsi="Montserrat"/>
        </w:rPr>
        <w:t>R</w:t>
      </w:r>
      <w:r w:rsidR="00D12C48">
        <w:rPr>
          <w:rFonts w:ascii="Montserrat" w:hAnsi="Montserrat"/>
        </w:rPr>
        <w:t>esponsable de la información,</w:t>
      </w:r>
    </w:p>
    <w:p w14:paraId="595931CE" w14:textId="57A55076" w:rsidR="00D12C48" w:rsidRDefault="00D12C48" w:rsidP="00D12C48">
      <w:pPr>
        <w:spacing w:after="0" w:line="276" w:lineRule="auto"/>
        <w:jc w:val="center"/>
        <w:rPr>
          <w:rFonts w:ascii="Montserrat" w:hAnsi="Montserrat"/>
        </w:rPr>
      </w:pPr>
      <w:r>
        <w:rPr>
          <w:rFonts w:ascii="Montserrat" w:hAnsi="Montserrat"/>
        </w:rPr>
        <w:t>Mtra. Leticia Espinosa Cruz</w:t>
      </w:r>
    </w:p>
    <w:p w14:paraId="7C0CAE95" w14:textId="1D08EF6C" w:rsidR="00D12C48" w:rsidRDefault="00D12C48" w:rsidP="00D12C48">
      <w:pPr>
        <w:spacing w:after="0" w:line="276" w:lineRule="auto"/>
        <w:jc w:val="center"/>
        <w:rPr>
          <w:rFonts w:ascii="Montserrat" w:hAnsi="Montserrat"/>
        </w:rPr>
      </w:pPr>
      <w:r>
        <w:rPr>
          <w:rFonts w:ascii="Montserrat" w:hAnsi="Montserrat"/>
        </w:rPr>
        <w:t>Directora de Administración</w:t>
      </w:r>
    </w:p>
    <w:p w14:paraId="7AD5C30B" w14:textId="4AAEBA14" w:rsidR="00D12C48" w:rsidRPr="00080986" w:rsidRDefault="00D12C48" w:rsidP="00D12C48">
      <w:pPr>
        <w:spacing w:after="0" w:line="276" w:lineRule="auto"/>
        <w:jc w:val="center"/>
        <w:rPr>
          <w:rFonts w:ascii="Montserrat" w:hAnsi="Montserrat"/>
        </w:rPr>
      </w:pPr>
      <w:r>
        <w:rPr>
          <w:rFonts w:ascii="Montserrat" w:hAnsi="Montserrat"/>
        </w:rPr>
        <w:t>Enlace del PNCCIMGP 2019-2024</w:t>
      </w:r>
    </w:p>
    <w:sectPr w:rsidR="00D12C48" w:rsidRPr="0008098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B2038" w14:textId="77777777" w:rsidR="007C0813" w:rsidRDefault="007C0813" w:rsidP="004F0CA8">
      <w:pPr>
        <w:spacing w:after="0" w:line="240" w:lineRule="auto"/>
      </w:pPr>
      <w:r>
        <w:separator/>
      </w:r>
    </w:p>
  </w:endnote>
  <w:endnote w:type="continuationSeparator" w:id="0">
    <w:p w14:paraId="788C0986" w14:textId="77777777" w:rsidR="007C0813" w:rsidRDefault="007C0813" w:rsidP="004F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2086859"/>
      <w:docPartObj>
        <w:docPartGallery w:val="Page Numbers (Bottom of Page)"/>
        <w:docPartUnique/>
      </w:docPartObj>
    </w:sdtPr>
    <w:sdtEndPr>
      <w:rPr>
        <w:rFonts w:ascii="Montserrat" w:hAnsi="Montserrat"/>
      </w:rPr>
    </w:sdtEndPr>
    <w:sdtContent>
      <w:p w14:paraId="551E4728" w14:textId="77777777" w:rsidR="00D12C48" w:rsidRDefault="00D12C48">
        <w:pPr>
          <w:pStyle w:val="Piedepgina"/>
          <w:jc w:val="center"/>
        </w:pPr>
      </w:p>
      <w:p w14:paraId="6179D8B1" w14:textId="5E5DF21E" w:rsidR="00692ACE" w:rsidRPr="00692ACE" w:rsidRDefault="00692ACE">
        <w:pPr>
          <w:pStyle w:val="Piedepgina"/>
          <w:jc w:val="center"/>
          <w:rPr>
            <w:rFonts w:ascii="Montserrat" w:hAnsi="Montserrat"/>
          </w:rPr>
        </w:pPr>
        <w:r w:rsidRPr="00692ACE">
          <w:rPr>
            <w:rFonts w:ascii="Montserrat" w:hAnsi="Montserrat"/>
          </w:rPr>
          <w:fldChar w:fldCharType="begin"/>
        </w:r>
        <w:r w:rsidRPr="00692ACE">
          <w:rPr>
            <w:rFonts w:ascii="Montserrat" w:hAnsi="Montserrat"/>
          </w:rPr>
          <w:instrText>PAGE   \* MERGEFORMAT</w:instrText>
        </w:r>
        <w:r w:rsidRPr="00692ACE">
          <w:rPr>
            <w:rFonts w:ascii="Montserrat" w:hAnsi="Montserrat"/>
          </w:rPr>
          <w:fldChar w:fldCharType="separate"/>
        </w:r>
        <w:r w:rsidRPr="00692ACE">
          <w:rPr>
            <w:rFonts w:ascii="Montserrat" w:hAnsi="Montserrat"/>
            <w:lang w:val="es-ES"/>
          </w:rPr>
          <w:t>2</w:t>
        </w:r>
        <w:r w:rsidRPr="00692ACE">
          <w:rPr>
            <w:rFonts w:ascii="Montserrat" w:hAnsi="Montserrat"/>
          </w:rPr>
          <w:fldChar w:fldCharType="end"/>
        </w:r>
      </w:p>
    </w:sdtContent>
  </w:sdt>
  <w:p w14:paraId="554D6492" w14:textId="77777777" w:rsidR="004F0CA8" w:rsidRDefault="004F0C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EB4C7" w14:textId="77777777" w:rsidR="007C0813" w:rsidRDefault="007C0813" w:rsidP="004F0CA8">
      <w:pPr>
        <w:spacing w:after="0" w:line="240" w:lineRule="auto"/>
      </w:pPr>
      <w:r>
        <w:separator/>
      </w:r>
    </w:p>
  </w:footnote>
  <w:footnote w:type="continuationSeparator" w:id="0">
    <w:p w14:paraId="58AC2C3E" w14:textId="77777777" w:rsidR="007C0813" w:rsidRDefault="007C0813" w:rsidP="004F0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6BCC" w14:textId="5EC538BB" w:rsidR="00DD030A" w:rsidRDefault="00DD030A">
    <w:pPr>
      <w:pStyle w:val="Encabezado"/>
    </w:pPr>
    <w:r>
      <w:rPr>
        <w:noProof/>
      </w:rPr>
      <w:drawing>
        <wp:anchor distT="0" distB="0" distL="114300" distR="114300" simplePos="0" relativeHeight="251658240" behindDoc="0" locked="0" layoutInCell="1" allowOverlap="1" wp14:anchorId="25D255F8" wp14:editId="627B533C">
          <wp:simplePos x="0" y="0"/>
          <wp:positionH relativeFrom="column">
            <wp:posOffset>-3810</wp:posOffset>
          </wp:positionH>
          <wp:positionV relativeFrom="paragraph">
            <wp:posOffset>-240030</wp:posOffset>
          </wp:positionV>
          <wp:extent cx="5395595"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5595" cy="914400"/>
                  </a:xfrm>
                  <a:prstGeom prst="rect">
                    <a:avLst/>
                  </a:prstGeom>
                  <a:noFill/>
                </pic:spPr>
              </pic:pic>
            </a:graphicData>
          </a:graphic>
          <wp14:sizeRelH relativeFrom="page">
            <wp14:pctWidth>0</wp14:pctWidth>
          </wp14:sizeRelH>
          <wp14:sizeRelV relativeFrom="page">
            <wp14:pctHeight>0</wp14:pctHeight>
          </wp14:sizeRelV>
        </wp:anchor>
      </w:drawing>
    </w:r>
  </w:p>
  <w:p w14:paraId="13F9770C" w14:textId="3B638B0D" w:rsidR="006A183F" w:rsidRDefault="006A183F">
    <w:pPr>
      <w:pStyle w:val="Encabezado"/>
    </w:pPr>
  </w:p>
  <w:p w14:paraId="49DAE697" w14:textId="77777777" w:rsidR="00DD030A" w:rsidRPr="00DD030A" w:rsidRDefault="00DD030A">
    <w:pPr>
      <w:pStyle w:val="Encabezado"/>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93B81"/>
    <w:multiLevelType w:val="hybridMultilevel"/>
    <w:tmpl w:val="F384CD6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1CC90904"/>
    <w:multiLevelType w:val="hybridMultilevel"/>
    <w:tmpl w:val="B92080C2"/>
    <w:lvl w:ilvl="0" w:tplc="080A000F">
      <w:start w:val="1"/>
      <w:numFmt w:val="decimal"/>
      <w:lvlText w:val="%1."/>
      <w:lvlJc w:val="left"/>
      <w:pPr>
        <w:ind w:left="720" w:hanging="360"/>
      </w:pPr>
    </w:lvl>
    <w:lvl w:ilvl="1" w:tplc="080A0019">
      <w:start w:val="1"/>
      <w:numFmt w:val="lowerLetter"/>
      <w:lvlText w:val="%2."/>
      <w:lvlJc w:val="left"/>
      <w:pPr>
        <w:ind w:left="36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A42972"/>
    <w:multiLevelType w:val="hybridMultilevel"/>
    <w:tmpl w:val="9ADA06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171E34"/>
    <w:multiLevelType w:val="hybridMultilevel"/>
    <w:tmpl w:val="B92080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35D7C6C"/>
    <w:multiLevelType w:val="hybridMultilevel"/>
    <w:tmpl w:val="36CCA134"/>
    <w:lvl w:ilvl="0" w:tplc="080A0001">
      <w:start w:val="3"/>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FA"/>
    <w:rsid w:val="00007E97"/>
    <w:rsid w:val="0001100C"/>
    <w:rsid w:val="00023BB8"/>
    <w:rsid w:val="0005005E"/>
    <w:rsid w:val="00055326"/>
    <w:rsid w:val="000704BE"/>
    <w:rsid w:val="00080986"/>
    <w:rsid w:val="000B65AA"/>
    <w:rsid w:val="000D222C"/>
    <w:rsid w:val="000D31FA"/>
    <w:rsid w:val="000E5FF8"/>
    <w:rsid w:val="00102EB7"/>
    <w:rsid w:val="00126032"/>
    <w:rsid w:val="00134DCA"/>
    <w:rsid w:val="001409D0"/>
    <w:rsid w:val="00152240"/>
    <w:rsid w:val="00167E7C"/>
    <w:rsid w:val="001732B2"/>
    <w:rsid w:val="00176DC4"/>
    <w:rsid w:val="0018573C"/>
    <w:rsid w:val="001A27CE"/>
    <w:rsid w:val="001A3F34"/>
    <w:rsid w:val="001B395A"/>
    <w:rsid w:val="001F05E5"/>
    <w:rsid w:val="001F5E02"/>
    <w:rsid w:val="00201A51"/>
    <w:rsid w:val="0020637F"/>
    <w:rsid w:val="002142E0"/>
    <w:rsid w:val="0022007A"/>
    <w:rsid w:val="00225019"/>
    <w:rsid w:val="002259F0"/>
    <w:rsid w:val="00252D6F"/>
    <w:rsid w:val="00253093"/>
    <w:rsid w:val="00256300"/>
    <w:rsid w:val="00267CE5"/>
    <w:rsid w:val="002714E9"/>
    <w:rsid w:val="002720DD"/>
    <w:rsid w:val="00276AB3"/>
    <w:rsid w:val="0028283D"/>
    <w:rsid w:val="002954E7"/>
    <w:rsid w:val="00297CC3"/>
    <w:rsid w:val="002A3CCD"/>
    <w:rsid w:val="002A7F5E"/>
    <w:rsid w:val="002E7E2F"/>
    <w:rsid w:val="002F0FDE"/>
    <w:rsid w:val="002F4B1C"/>
    <w:rsid w:val="00302364"/>
    <w:rsid w:val="00311DF4"/>
    <w:rsid w:val="0032333E"/>
    <w:rsid w:val="00323B98"/>
    <w:rsid w:val="003546A8"/>
    <w:rsid w:val="00373133"/>
    <w:rsid w:val="003964FC"/>
    <w:rsid w:val="003C06FB"/>
    <w:rsid w:val="003D3AA4"/>
    <w:rsid w:val="003E543C"/>
    <w:rsid w:val="003F740B"/>
    <w:rsid w:val="00411440"/>
    <w:rsid w:val="0044209B"/>
    <w:rsid w:val="004612D6"/>
    <w:rsid w:val="004923EA"/>
    <w:rsid w:val="004A6DEE"/>
    <w:rsid w:val="004B29FE"/>
    <w:rsid w:val="004F0CA8"/>
    <w:rsid w:val="005041B5"/>
    <w:rsid w:val="0053611C"/>
    <w:rsid w:val="005E13F6"/>
    <w:rsid w:val="005F0A07"/>
    <w:rsid w:val="005F3795"/>
    <w:rsid w:val="00601D09"/>
    <w:rsid w:val="006068DE"/>
    <w:rsid w:val="00617EFE"/>
    <w:rsid w:val="00635787"/>
    <w:rsid w:val="00641D38"/>
    <w:rsid w:val="0065301C"/>
    <w:rsid w:val="00653DDA"/>
    <w:rsid w:val="00661DC1"/>
    <w:rsid w:val="00675F5B"/>
    <w:rsid w:val="00692ACE"/>
    <w:rsid w:val="006A183F"/>
    <w:rsid w:val="006A3935"/>
    <w:rsid w:val="006B4863"/>
    <w:rsid w:val="006F0809"/>
    <w:rsid w:val="006F3551"/>
    <w:rsid w:val="00724D57"/>
    <w:rsid w:val="00727D22"/>
    <w:rsid w:val="00730B9B"/>
    <w:rsid w:val="0073140E"/>
    <w:rsid w:val="00754375"/>
    <w:rsid w:val="00760DA4"/>
    <w:rsid w:val="00776FE7"/>
    <w:rsid w:val="007B3488"/>
    <w:rsid w:val="007B6F97"/>
    <w:rsid w:val="007C0813"/>
    <w:rsid w:val="007C22E6"/>
    <w:rsid w:val="007C39C2"/>
    <w:rsid w:val="007C4B00"/>
    <w:rsid w:val="007C5F14"/>
    <w:rsid w:val="007D30E2"/>
    <w:rsid w:val="007E2AA3"/>
    <w:rsid w:val="007E5560"/>
    <w:rsid w:val="00801B46"/>
    <w:rsid w:val="0080202A"/>
    <w:rsid w:val="00804936"/>
    <w:rsid w:val="00804D21"/>
    <w:rsid w:val="00805CA4"/>
    <w:rsid w:val="0081492E"/>
    <w:rsid w:val="00837B0B"/>
    <w:rsid w:val="0086285F"/>
    <w:rsid w:val="00863CD4"/>
    <w:rsid w:val="00864163"/>
    <w:rsid w:val="00871D28"/>
    <w:rsid w:val="00876355"/>
    <w:rsid w:val="00883121"/>
    <w:rsid w:val="008B21CE"/>
    <w:rsid w:val="008B372C"/>
    <w:rsid w:val="008B6BFC"/>
    <w:rsid w:val="008D0188"/>
    <w:rsid w:val="008D63AA"/>
    <w:rsid w:val="00912265"/>
    <w:rsid w:val="009138BC"/>
    <w:rsid w:val="009228E9"/>
    <w:rsid w:val="0093247C"/>
    <w:rsid w:val="00932BE1"/>
    <w:rsid w:val="009368CE"/>
    <w:rsid w:val="00944DFB"/>
    <w:rsid w:val="009575CD"/>
    <w:rsid w:val="00990BE6"/>
    <w:rsid w:val="009943DA"/>
    <w:rsid w:val="009B2BBD"/>
    <w:rsid w:val="009C5CEA"/>
    <w:rsid w:val="009D6B2B"/>
    <w:rsid w:val="009F075A"/>
    <w:rsid w:val="00A21B66"/>
    <w:rsid w:val="00A25F62"/>
    <w:rsid w:val="00A52A8E"/>
    <w:rsid w:val="00A55732"/>
    <w:rsid w:val="00A73B7F"/>
    <w:rsid w:val="00A86516"/>
    <w:rsid w:val="00AA2EC8"/>
    <w:rsid w:val="00AC2376"/>
    <w:rsid w:val="00B0764B"/>
    <w:rsid w:val="00B4056D"/>
    <w:rsid w:val="00B4574C"/>
    <w:rsid w:val="00B54DE7"/>
    <w:rsid w:val="00B9131B"/>
    <w:rsid w:val="00B95225"/>
    <w:rsid w:val="00BC58B0"/>
    <w:rsid w:val="00BF344F"/>
    <w:rsid w:val="00BF6138"/>
    <w:rsid w:val="00C0521C"/>
    <w:rsid w:val="00C072AC"/>
    <w:rsid w:val="00C16739"/>
    <w:rsid w:val="00C429DB"/>
    <w:rsid w:val="00C4698C"/>
    <w:rsid w:val="00C5734A"/>
    <w:rsid w:val="00C62B22"/>
    <w:rsid w:val="00C657EC"/>
    <w:rsid w:val="00C71702"/>
    <w:rsid w:val="00C72909"/>
    <w:rsid w:val="00C8370D"/>
    <w:rsid w:val="00C872A2"/>
    <w:rsid w:val="00CA7161"/>
    <w:rsid w:val="00CB64AD"/>
    <w:rsid w:val="00CC47B7"/>
    <w:rsid w:val="00D12C48"/>
    <w:rsid w:val="00D46A32"/>
    <w:rsid w:val="00DB6BAB"/>
    <w:rsid w:val="00DD0276"/>
    <w:rsid w:val="00DD030A"/>
    <w:rsid w:val="00DE4DB0"/>
    <w:rsid w:val="00DE6652"/>
    <w:rsid w:val="00E00D81"/>
    <w:rsid w:val="00E16AFA"/>
    <w:rsid w:val="00E17CB5"/>
    <w:rsid w:val="00E80501"/>
    <w:rsid w:val="00E900E8"/>
    <w:rsid w:val="00EC7DA9"/>
    <w:rsid w:val="00EE1C3C"/>
    <w:rsid w:val="00EE214D"/>
    <w:rsid w:val="00EE4530"/>
    <w:rsid w:val="00EE497A"/>
    <w:rsid w:val="00EF42C3"/>
    <w:rsid w:val="00F05DBF"/>
    <w:rsid w:val="00F2205A"/>
    <w:rsid w:val="00F35F78"/>
    <w:rsid w:val="00FF33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63F0E"/>
  <w15:chartTrackingRefBased/>
  <w15:docId w15:val="{CD1B1B57-6325-46BC-AD16-513DF769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075A"/>
    <w:pPr>
      <w:ind w:left="720"/>
      <w:contextualSpacing/>
    </w:pPr>
  </w:style>
  <w:style w:type="paragraph" w:styleId="Textodeglobo">
    <w:name w:val="Balloon Text"/>
    <w:basedOn w:val="Normal"/>
    <w:link w:val="TextodegloboCar"/>
    <w:uiPriority w:val="99"/>
    <w:semiHidden/>
    <w:unhideWhenUsed/>
    <w:rsid w:val="001B395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B395A"/>
    <w:rPr>
      <w:rFonts w:ascii="Tahoma" w:hAnsi="Tahoma" w:cs="Tahoma"/>
      <w:sz w:val="16"/>
      <w:szCs w:val="16"/>
    </w:rPr>
  </w:style>
  <w:style w:type="paragraph" w:styleId="Encabezado">
    <w:name w:val="header"/>
    <w:basedOn w:val="Normal"/>
    <w:link w:val="EncabezadoCar"/>
    <w:uiPriority w:val="99"/>
    <w:unhideWhenUsed/>
    <w:rsid w:val="004F0CA8"/>
    <w:pPr>
      <w:tabs>
        <w:tab w:val="center" w:pos="4419"/>
        <w:tab w:val="right" w:pos="8838"/>
      </w:tabs>
    </w:pPr>
  </w:style>
  <w:style w:type="character" w:customStyle="1" w:styleId="EncabezadoCar">
    <w:name w:val="Encabezado Car"/>
    <w:basedOn w:val="Fuentedeprrafopredeter"/>
    <w:link w:val="Encabezado"/>
    <w:uiPriority w:val="99"/>
    <w:rsid w:val="004F0CA8"/>
    <w:rPr>
      <w:sz w:val="22"/>
      <w:szCs w:val="22"/>
      <w:lang w:eastAsia="en-US"/>
    </w:rPr>
  </w:style>
  <w:style w:type="paragraph" w:styleId="Piedepgina">
    <w:name w:val="footer"/>
    <w:basedOn w:val="Normal"/>
    <w:link w:val="PiedepginaCar"/>
    <w:uiPriority w:val="99"/>
    <w:unhideWhenUsed/>
    <w:rsid w:val="004F0CA8"/>
    <w:pPr>
      <w:tabs>
        <w:tab w:val="center" w:pos="4419"/>
        <w:tab w:val="right" w:pos="8838"/>
      </w:tabs>
    </w:pPr>
  </w:style>
  <w:style w:type="character" w:customStyle="1" w:styleId="PiedepginaCar">
    <w:name w:val="Pie de página Car"/>
    <w:basedOn w:val="Fuentedeprrafopredeter"/>
    <w:link w:val="Piedepgina"/>
    <w:uiPriority w:val="99"/>
    <w:rsid w:val="004F0CA8"/>
    <w:rPr>
      <w:sz w:val="22"/>
      <w:szCs w:val="22"/>
      <w:lang w:eastAsia="en-US"/>
    </w:rPr>
  </w:style>
  <w:style w:type="table" w:styleId="Tablaconcuadrcula">
    <w:name w:val="Table Grid"/>
    <w:basedOn w:val="Tablanormal"/>
    <w:uiPriority w:val="39"/>
    <w:rsid w:val="00C6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62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1DB3F-A4D0-45E7-B042-39D6BB26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944</Words>
  <Characters>5194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Lruiz</dc:creator>
  <cp:keywords/>
  <cp:lastModifiedBy>Marie Claude Brunel Manse</cp:lastModifiedBy>
  <cp:revision>34</cp:revision>
  <cp:lastPrinted>2019-01-22T22:41:00Z</cp:lastPrinted>
  <dcterms:created xsi:type="dcterms:W3CDTF">2021-01-29T20:37:00Z</dcterms:created>
  <dcterms:modified xsi:type="dcterms:W3CDTF">2021-02-12T20:11:00Z</dcterms:modified>
</cp:coreProperties>
</file>