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3A0B" w14:textId="77777777" w:rsidR="007E12DE" w:rsidRDefault="007E12DE">
      <w:pPr>
        <w:rPr>
          <w:rFonts w:ascii="Montserrat" w:hAnsi="Montserrat"/>
          <w:b/>
          <w:bCs/>
          <w:sz w:val="28"/>
          <w:szCs w:val="28"/>
        </w:rPr>
      </w:pPr>
    </w:p>
    <w:p w14:paraId="2B9F2605" w14:textId="7E318B62" w:rsidR="00150E6B" w:rsidRDefault="00150E6B">
      <w:pPr>
        <w:rPr>
          <w:rFonts w:ascii="Montserrat" w:hAnsi="Montserrat"/>
          <w:b/>
          <w:bCs/>
          <w:sz w:val="28"/>
          <w:szCs w:val="28"/>
        </w:rPr>
      </w:pPr>
      <w:r w:rsidRPr="00A81726">
        <w:rPr>
          <w:rFonts w:ascii="Montserrat" w:hAnsi="Montserrat"/>
          <w:b/>
          <w:bCs/>
          <w:sz w:val="28"/>
          <w:szCs w:val="28"/>
        </w:rPr>
        <w:t>IV. Seguimiento de Acuerdos</w:t>
      </w:r>
    </w:p>
    <w:p w14:paraId="670EDD6D" w14:textId="77777777" w:rsidR="00A81726" w:rsidRPr="00A81726" w:rsidRDefault="00A81726">
      <w:pPr>
        <w:rPr>
          <w:rFonts w:ascii="Montserrat" w:hAnsi="Montserrat"/>
          <w:b/>
          <w:bCs/>
          <w:sz w:val="20"/>
          <w:szCs w:val="20"/>
        </w:rPr>
      </w:pPr>
    </w:p>
    <w:tbl>
      <w:tblPr>
        <w:tblStyle w:val="Tablaconcuadrcula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3969"/>
        <w:gridCol w:w="1276"/>
        <w:gridCol w:w="1701"/>
        <w:gridCol w:w="2126"/>
      </w:tblGrid>
      <w:tr w:rsidR="0090240C" w:rsidRPr="00383204" w14:paraId="124CCE03" w14:textId="77777777" w:rsidTr="00DF3E0B">
        <w:trPr>
          <w:trHeight w:val="182"/>
        </w:trPr>
        <w:tc>
          <w:tcPr>
            <w:tcW w:w="3403" w:type="dxa"/>
            <w:gridSpan w:val="2"/>
            <w:shd w:val="clear" w:color="auto" w:fill="DEEAF6" w:themeFill="accent5" w:themeFillTint="33"/>
          </w:tcPr>
          <w:p w14:paraId="2A2BCDAE" w14:textId="0224633A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Acuerdo</w:t>
            </w:r>
          </w:p>
        </w:tc>
        <w:tc>
          <w:tcPr>
            <w:tcW w:w="1842" w:type="dxa"/>
            <w:vMerge w:val="restart"/>
            <w:shd w:val="clear" w:color="auto" w:fill="DEEAF6" w:themeFill="accent5" w:themeFillTint="33"/>
          </w:tcPr>
          <w:p w14:paraId="78BF8129" w14:textId="77777777" w:rsidR="00EE3A92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Área(s) responsable(s)</w:t>
            </w:r>
          </w:p>
          <w:p w14:paraId="6D7E62D3" w14:textId="5DED6EC6" w:rsidR="00235FD1" w:rsidRPr="00235FD1" w:rsidRDefault="00235FD1" w:rsidP="00235FD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DEEAF6" w:themeFill="accent5" w:themeFillTint="33"/>
          </w:tcPr>
          <w:p w14:paraId="563A7B6B" w14:textId="77777777" w:rsidR="007B64B3" w:rsidRPr="00383204" w:rsidRDefault="007B64B3" w:rsidP="0092365B">
            <w:pPr>
              <w:spacing w:line="240" w:lineRule="auto"/>
              <w:jc w:val="center"/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</w:pPr>
          </w:p>
          <w:p w14:paraId="24A237F5" w14:textId="31599F21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  <w:t>Acciones realizadas</w:t>
            </w:r>
          </w:p>
        </w:tc>
        <w:tc>
          <w:tcPr>
            <w:tcW w:w="1276" w:type="dxa"/>
            <w:vMerge w:val="restart"/>
            <w:shd w:val="clear" w:color="auto" w:fill="DEEAF6" w:themeFill="accent5" w:themeFillTint="33"/>
          </w:tcPr>
          <w:p w14:paraId="7E497CDB" w14:textId="27540391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3"/>
                <w:sz w:val="20"/>
                <w:szCs w:val="20"/>
              </w:rPr>
              <w:t>% avances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</w:tcPr>
          <w:p w14:paraId="6447C901" w14:textId="0805648D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  <w:t>Fecha compromiso</w:t>
            </w:r>
          </w:p>
        </w:tc>
        <w:tc>
          <w:tcPr>
            <w:tcW w:w="2126" w:type="dxa"/>
            <w:vMerge w:val="restart"/>
            <w:shd w:val="clear" w:color="auto" w:fill="DEEAF6" w:themeFill="accent5" w:themeFillTint="33"/>
          </w:tcPr>
          <w:p w14:paraId="30F7177C" w14:textId="584689D4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  <w:t>Impacto negativo en caso de no cumplir en tiempo y forma</w:t>
            </w:r>
          </w:p>
        </w:tc>
      </w:tr>
      <w:tr w:rsidR="007B64B3" w:rsidRPr="00383204" w14:paraId="510849AB" w14:textId="77777777" w:rsidTr="00DF3E0B">
        <w:trPr>
          <w:trHeight w:val="181"/>
        </w:trPr>
        <w:tc>
          <w:tcPr>
            <w:tcW w:w="709" w:type="dxa"/>
            <w:shd w:val="clear" w:color="auto" w:fill="DEEAF6" w:themeFill="accent5" w:themeFillTint="33"/>
          </w:tcPr>
          <w:p w14:paraId="1D00397E" w14:textId="1677523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N</w:t>
            </w:r>
            <w:r w:rsidR="007B64B3" w:rsidRPr="00383204">
              <w:rPr>
                <w:rFonts w:ascii="Montserrat" w:hAnsi="Montserrat"/>
                <w:b/>
                <w:bCs/>
                <w:sz w:val="20"/>
                <w:szCs w:val="20"/>
              </w:rPr>
              <w:t>°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5EB1B67D" w14:textId="675F30FD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vMerge/>
            <w:shd w:val="clear" w:color="auto" w:fill="DEEAF6" w:themeFill="accent5" w:themeFillTint="33"/>
          </w:tcPr>
          <w:p w14:paraId="62B2D185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EEAF6" w:themeFill="accent5" w:themeFillTint="33"/>
          </w:tcPr>
          <w:p w14:paraId="011CBBAE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</w:tcPr>
          <w:p w14:paraId="4658A5F4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14:paraId="51E34DC5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5" w:themeFillTint="33"/>
          </w:tcPr>
          <w:p w14:paraId="182B527D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1A23D5" w:rsidRPr="00140AA7" w14:paraId="6BBF050B" w14:textId="77777777" w:rsidTr="00DF3E0B">
        <w:tc>
          <w:tcPr>
            <w:tcW w:w="709" w:type="dxa"/>
          </w:tcPr>
          <w:p w14:paraId="2B477166" w14:textId="30485619" w:rsidR="001A23D5" w:rsidRPr="00140AA7" w:rsidRDefault="001A23D5" w:rsidP="001A23D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140AA7">
              <w:rPr>
                <w:rFonts w:ascii="Montserrat" w:hAnsi="Montserrat"/>
                <w:sz w:val="20"/>
                <w:szCs w:val="20"/>
              </w:rPr>
              <w:t>01-IV-2020</w:t>
            </w:r>
          </w:p>
        </w:tc>
        <w:tc>
          <w:tcPr>
            <w:tcW w:w="2694" w:type="dxa"/>
          </w:tcPr>
          <w:p w14:paraId="6ED61092" w14:textId="3CD0B3D0" w:rsidR="001A23D5" w:rsidRPr="00140AA7" w:rsidRDefault="001A23D5" w:rsidP="001A23D5">
            <w:pPr>
              <w:spacing w:after="0" w:line="240" w:lineRule="auto"/>
              <w:rPr>
                <w:rFonts w:ascii="Montserrat" w:eastAsia="Batang" w:hAnsi="Montserrat" w:cs="Arial"/>
                <w:color w:val="000000"/>
                <w:kern w:val="18"/>
                <w:sz w:val="20"/>
                <w:szCs w:val="20"/>
                <w:lang w:val="es-ES"/>
              </w:rPr>
            </w:pPr>
            <w:r w:rsidRPr="00140AA7">
              <w:rPr>
                <w:rFonts w:ascii="Montserrat" w:eastAsia="Batang" w:hAnsi="Montserrat" w:cs="Arial"/>
                <w:color w:val="000000" w:themeColor="text1"/>
                <w:kern w:val="18"/>
                <w:sz w:val="20"/>
                <w:szCs w:val="20"/>
                <w:lang w:val="es-ES"/>
              </w:rPr>
              <w:t>Seguimiento al proceso de extinción del Fondo de Investigación Científica y Desarrollo Tecnológico de El Colegio de la Frontera Sur” (FID 784) y atender a cabalidad el decreto de extinción emitido el 0</w:t>
            </w:r>
            <w:r>
              <w:rPr>
                <w:rFonts w:ascii="Montserrat" w:eastAsia="Batang" w:hAnsi="Montserrat" w:cs="Arial"/>
                <w:color w:val="000000" w:themeColor="text1"/>
                <w:kern w:val="18"/>
                <w:sz w:val="20"/>
                <w:szCs w:val="20"/>
                <w:lang w:val="es-ES"/>
              </w:rPr>
              <w:t>6</w:t>
            </w:r>
            <w:r w:rsidRPr="00140AA7">
              <w:rPr>
                <w:rFonts w:ascii="Montserrat" w:eastAsia="Batang" w:hAnsi="Montserrat" w:cs="Arial"/>
                <w:color w:val="000000" w:themeColor="text1"/>
                <w:kern w:val="18"/>
                <w:sz w:val="20"/>
                <w:szCs w:val="20"/>
                <w:lang w:val="es-ES"/>
              </w:rPr>
              <w:t xml:space="preserve"> de noviembre de 2020</w:t>
            </w:r>
          </w:p>
        </w:tc>
        <w:tc>
          <w:tcPr>
            <w:tcW w:w="1842" w:type="dxa"/>
          </w:tcPr>
          <w:p w14:paraId="2546ABEC" w14:textId="18354594" w:rsidR="001A23D5" w:rsidRPr="00140AA7" w:rsidRDefault="001A23D5" w:rsidP="001A23D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140AA7">
              <w:rPr>
                <w:rFonts w:ascii="Montserrat" w:hAnsi="Montserrat"/>
                <w:sz w:val="20"/>
                <w:szCs w:val="20"/>
              </w:rPr>
              <w:t>Dirección de Administración</w:t>
            </w:r>
          </w:p>
        </w:tc>
        <w:tc>
          <w:tcPr>
            <w:tcW w:w="3969" w:type="dxa"/>
          </w:tcPr>
          <w:p w14:paraId="52DB3C5E" w14:textId="23C8CDDE" w:rsidR="00D20200" w:rsidRDefault="004A7EA5" w:rsidP="001A23D5">
            <w:pPr>
              <w:spacing w:after="0" w:line="240" w:lineRule="auto"/>
              <w:ind w:right="114"/>
              <w:rPr>
                <w:rFonts w:ascii="Montserrat" w:eastAsia="Candara" w:hAnsi="Montserrat" w:cs="Candara"/>
                <w:sz w:val="20"/>
                <w:szCs w:val="20"/>
              </w:rPr>
            </w:pPr>
            <w:r>
              <w:rPr>
                <w:rFonts w:ascii="Montserrat" w:eastAsia="Candara" w:hAnsi="Montserrat" w:cs="Candara"/>
                <w:sz w:val="20"/>
                <w:szCs w:val="20"/>
              </w:rPr>
              <w:t>Se envió oficio COTEFI-002</w:t>
            </w:r>
            <w:r w:rsidR="00E44880">
              <w:rPr>
                <w:rFonts w:ascii="Montserrat" w:eastAsia="Candara" w:hAnsi="Montserrat" w:cs="Candara"/>
                <w:sz w:val="20"/>
                <w:szCs w:val="20"/>
              </w:rPr>
              <w:t xml:space="preserve">/2021 al Fiduciario Actinver Casa de Bolsa, S.A. de C.V., solicitando información sobre los trámites a realizar para llevar a cabo la extinción del Fideicomiso denominado “Fondo de Investigación Científica y Desarrollo Tecnológico de ECOSUR” (FID-784). Mediante </w:t>
            </w:r>
            <w:r w:rsidR="00D20200">
              <w:rPr>
                <w:rFonts w:ascii="Montserrat" w:eastAsia="Candara" w:hAnsi="Montserrat" w:cs="Candara"/>
                <w:sz w:val="20"/>
                <w:szCs w:val="20"/>
              </w:rPr>
              <w:t>diversos correos</w:t>
            </w:r>
            <w:r w:rsidR="00E44880">
              <w:rPr>
                <w:rFonts w:ascii="Montserrat" w:eastAsia="Candara" w:hAnsi="Montserrat" w:cs="Candara"/>
                <w:sz w:val="20"/>
                <w:szCs w:val="20"/>
              </w:rPr>
              <w:t xml:space="preserve"> nos han proporcionado información y nos enviaron un machote de convenio de extinción, para su revisión y avance en el llenado</w:t>
            </w:r>
            <w:r w:rsidR="00D20200">
              <w:rPr>
                <w:rFonts w:ascii="Montserrat" w:eastAsia="Candara" w:hAnsi="Montserrat" w:cs="Candara"/>
                <w:sz w:val="20"/>
                <w:szCs w:val="20"/>
              </w:rPr>
              <w:t xml:space="preserve">. </w:t>
            </w:r>
            <w:r w:rsidR="00F22014">
              <w:rPr>
                <w:rFonts w:ascii="Montserrat" w:eastAsia="Candara" w:hAnsi="Montserrat" w:cs="Candara"/>
                <w:sz w:val="20"/>
                <w:szCs w:val="20"/>
              </w:rPr>
              <w:t>Se está</w:t>
            </w:r>
            <w:r w:rsidR="00D20200">
              <w:rPr>
                <w:rFonts w:ascii="Montserrat" w:eastAsia="Candara" w:hAnsi="Montserrat" w:cs="Candara"/>
                <w:sz w:val="20"/>
                <w:szCs w:val="20"/>
              </w:rPr>
              <w:t xml:space="preserve"> en espera de la carta instrucción de extinción, por parte del Comité Técnico del Fondo, para proceder. Esta carta instrucción se enviará en la segunda semana de mayo, con la </w:t>
            </w:r>
            <w:r w:rsidR="00D20200">
              <w:rPr>
                <w:rFonts w:ascii="Montserrat" w:eastAsia="Candara" w:hAnsi="Montserrat" w:cs="Candara"/>
                <w:sz w:val="20"/>
                <w:szCs w:val="20"/>
              </w:rPr>
              <w:lastRenderedPageBreak/>
              <w:t xml:space="preserve">finalidad de poder avanzar en la atención de compromisos de proyectos apoyados por el Fondo. Es importante mencionar que estos compromisos </w:t>
            </w:r>
            <w:r w:rsidR="00F22014">
              <w:rPr>
                <w:rFonts w:ascii="Montserrat" w:eastAsia="Candara" w:hAnsi="Montserrat" w:cs="Candara"/>
                <w:sz w:val="20"/>
                <w:szCs w:val="20"/>
              </w:rPr>
              <w:t>existen</w:t>
            </w:r>
            <w:r w:rsidR="00D20200">
              <w:rPr>
                <w:rFonts w:ascii="Montserrat" w:eastAsia="Candara" w:hAnsi="Montserrat" w:cs="Candara"/>
                <w:sz w:val="20"/>
                <w:szCs w:val="20"/>
              </w:rPr>
              <w:t xml:space="preserve"> desde antes de la publicación del decreto de extinción de estos Fondos.</w:t>
            </w:r>
          </w:p>
          <w:p w14:paraId="233E5261" w14:textId="698E862D" w:rsidR="001A23D5" w:rsidRPr="00140AA7" w:rsidRDefault="00D861BD" w:rsidP="001A23D5">
            <w:pPr>
              <w:spacing w:after="0" w:line="240" w:lineRule="auto"/>
              <w:ind w:right="114"/>
              <w:rPr>
                <w:rFonts w:ascii="Montserrat" w:eastAsia="Candara" w:hAnsi="Montserrat" w:cs="Candara"/>
                <w:sz w:val="20"/>
                <w:szCs w:val="20"/>
              </w:rPr>
            </w:pPr>
            <w:r>
              <w:rPr>
                <w:rFonts w:ascii="Montserrat" w:eastAsia="Candara" w:hAnsi="Montserrat" w:cs="Candara"/>
                <w:sz w:val="20"/>
                <w:szCs w:val="20"/>
              </w:rPr>
              <w:t>L</w:t>
            </w:r>
            <w:r w:rsidR="00D20200">
              <w:rPr>
                <w:rFonts w:ascii="Montserrat" w:eastAsia="Candara" w:hAnsi="Montserrat" w:cs="Candara"/>
                <w:sz w:val="20"/>
                <w:szCs w:val="20"/>
              </w:rPr>
              <w:t xml:space="preserve">os proyectos </w:t>
            </w:r>
            <w:r>
              <w:rPr>
                <w:rFonts w:ascii="Montserrat" w:eastAsia="Candara" w:hAnsi="Montserrat" w:cs="Candara"/>
                <w:sz w:val="20"/>
                <w:szCs w:val="20"/>
              </w:rPr>
              <w:t xml:space="preserve">vigentes </w:t>
            </w:r>
            <w:r w:rsidR="00D20200">
              <w:rPr>
                <w:rFonts w:ascii="Montserrat" w:eastAsia="Candara" w:hAnsi="Montserrat" w:cs="Candara"/>
                <w:sz w:val="20"/>
                <w:szCs w:val="20"/>
              </w:rPr>
              <w:t xml:space="preserve">se darán por finiquitados </w:t>
            </w:r>
            <w:r>
              <w:rPr>
                <w:rFonts w:ascii="Montserrat" w:eastAsia="Candara" w:hAnsi="Montserrat" w:cs="Candara"/>
                <w:sz w:val="20"/>
                <w:szCs w:val="20"/>
              </w:rPr>
              <w:t>financieramente en el mes de mayo y el informe técnico en el mes de junio.</w:t>
            </w:r>
            <w:r w:rsidR="00D20200">
              <w:rPr>
                <w:rFonts w:ascii="Montserrat" w:eastAsia="Candara" w:hAnsi="Montserrat" w:cs="Candar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EB1E51" w14:textId="2FA67AC7" w:rsidR="001A23D5" w:rsidRPr="00140AA7" w:rsidRDefault="00D861BD" w:rsidP="001A23D5">
            <w:pPr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70%</w:t>
            </w:r>
          </w:p>
        </w:tc>
        <w:tc>
          <w:tcPr>
            <w:tcW w:w="1701" w:type="dxa"/>
          </w:tcPr>
          <w:p w14:paraId="5EF6E36A" w14:textId="36381DD8" w:rsidR="001A23D5" w:rsidRPr="00140AA7" w:rsidRDefault="001A23D5" w:rsidP="001A23D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30/06/2021</w:t>
            </w:r>
          </w:p>
        </w:tc>
        <w:tc>
          <w:tcPr>
            <w:tcW w:w="2126" w:type="dxa"/>
          </w:tcPr>
          <w:p w14:paraId="407F391E" w14:textId="5BF422FE" w:rsidR="001A23D5" w:rsidRPr="00140AA7" w:rsidRDefault="001A23D5" w:rsidP="001A23D5">
            <w:pPr>
              <w:spacing w:after="0" w:line="240" w:lineRule="auto"/>
              <w:rPr>
                <w:rFonts w:ascii="Montserrat" w:eastAsia="Candara" w:hAnsi="Montserrat" w:cs="Candara"/>
                <w:sz w:val="20"/>
                <w:szCs w:val="20"/>
              </w:rPr>
            </w:pPr>
            <w:r>
              <w:rPr>
                <w:rFonts w:ascii="Montserrat" w:eastAsia="Candara" w:hAnsi="Montserrat" w:cs="Candara"/>
                <w:sz w:val="20"/>
                <w:szCs w:val="20"/>
              </w:rPr>
              <w:t>Ser observado por las instancias administrativas e incurrir en responsabilidades administrativas</w:t>
            </w:r>
          </w:p>
        </w:tc>
      </w:tr>
    </w:tbl>
    <w:p w14:paraId="2B647D8B" w14:textId="47CBE62E" w:rsidR="003B2B76" w:rsidRDefault="003B2B76" w:rsidP="0092365B">
      <w:pPr>
        <w:spacing w:line="240" w:lineRule="auto"/>
        <w:rPr>
          <w:rFonts w:ascii="Montserrat" w:hAnsi="Montserrat"/>
        </w:rPr>
      </w:pPr>
    </w:p>
    <w:p w14:paraId="744A4641" w14:textId="5EC5EABD" w:rsidR="00BC504E" w:rsidRDefault="00BC504E" w:rsidP="0092365B">
      <w:pPr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Se adjuntan:</w:t>
      </w:r>
    </w:p>
    <w:p w14:paraId="69CB5024" w14:textId="0F11C8ED" w:rsidR="00BC504E" w:rsidRDefault="00BC504E" w:rsidP="00BC504E">
      <w:pPr>
        <w:pStyle w:val="Prrafodelista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Listado de los proyectos comprometidos en el FID</w:t>
      </w:r>
    </w:p>
    <w:p w14:paraId="3855DBAE" w14:textId="041BB3DA" w:rsidR="00BC504E" w:rsidRDefault="00BC504E" w:rsidP="00BC504E">
      <w:pPr>
        <w:pStyle w:val="Prrafodelista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Oficio COTEFI-002/2021 de solicitud de información al Fiduciario</w:t>
      </w:r>
    </w:p>
    <w:p w14:paraId="35CF6BF7" w14:textId="1A3A2C8F" w:rsidR="00BC504E" w:rsidRDefault="00BC504E" w:rsidP="00BC504E">
      <w:pPr>
        <w:pStyle w:val="Prrafodelista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Seguimiento al oficio COTEFI</w:t>
      </w:r>
    </w:p>
    <w:p w14:paraId="44CC25F8" w14:textId="0A344A9D" w:rsidR="00BC504E" w:rsidRPr="00BC504E" w:rsidRDefault="00BC504E" w:rsidP="00BC504E">
      <w:pPr>
        <w:pStyle w:val="Prrafodelista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Versión preliminar del convenio de extinción</w:t>
      </w:r>
    </w:p>
    <w:sectPr w:rsidR="00BC504E" w:rsidRPr="00BC504E" w:rsidSect="00804D5E">
      <w:headerReference w:type="default" r:id="rId7"/>
      <w:footerReference w:type="default" r:id="rId8"/>
      <w:pgSz w:w="15840" w:h="12240" w:orient="landscape"/>
      <w:pgMar w:top="1440" w:right="1080" w:bottom="1440" w:left="1080" w:header="708" w:footer="2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786B" w14:textId="77777777" w:rsidR="00D3175B" w:rsidRDefault="00D3175B" w:rsidP="00EE3A92">
      <w:pPr>
        <w:spacing w:after="0" w:line="240" w:lineRule="auto"/>
      </w:pPr>
      <w:r>
        <w:separator/>
      </w:r>
    </w:p>
  </w:endnote>
  <w:endnote w:type="continuationSeparator" w:id="0">
    <w:p w14:paraId="0D338188" w14:textId="77777777" w:rsidR="00D3175B" w:rsidRDefault="00D3175B" w:rsidP="00EE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21464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AE44AF6" w14:textId="0D9F4374" w:rsidR="00804D5E" w:rsidRDefault="00804D5E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7A4C233C" wp14:editId="03841A45">
              <wp:simplePos x="0" y="0"/>
              <wp:positionH relativeFrom="margin">
                <wp:posOffset>-133350</wp:posOffset>
              </wp:positionH>
              <wp:positionV relativeFrom="paragraph">
                <wp:posOffset>67310</wp:posOffset>
              </wp:positionV>
              <wp:extent cx="9105900" cy="1601355"/>
              <wp:effectExtent l="0" t="0" r="0" b="0"/>
              <wp:wrapNone/>
              <wp:docPr id="58" name="Imagen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39148" cy="160720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93BCD2A" w14:textId="7AFB169B" w:rsidR="0092365B" w:rsidRPr="0092365B" w:rsidRDefault="0092365B">
        <w:pPr>
          <w:pStyle w:val="Piedepgina"/>
          <w:jc w:val="center"/>
          <w:rPr>
            <w:rFonts w:ascii="Montserrat" w:hAnsi="Montserrat"/>
          </w:rPr>
        </w:pPr>
        <w:r w:rsidRPr="0092365B">
          <w:rPr>
            <w:rFonts w:ascii="Montserrat" w:hAnsi="Montserrat"/>
          </w:rPr>
          <w:fldChar w:fldCharType="begin"/>
        </w:r>
        <w:r w:rsidRPr="0092365B">
          <w:rPr>
            <w:rFonts w:ascii="Montserrat" w:hAnsi="Montserrat"/>
          </w:rPr>
          <w:instrText>PAGE   \* MERGEFORMAT</w:instrText>
        </w:r>
        <w:r w:rsidRPr="0092365B">
          <w:rPr>
            <w:rFonts w:ascii="Montserrat" w:hAnsi="Montserrat"/>
          </w:rPr>
          <w:fldChar w:fldCharType="separate"/>
        </w:r>
        <w:r w:rsidRPr="0092365B">
          <w:rPr>
            <w:rFonts w:ascii="Montserrat" w:hAnsi="Montserrat"/>
            <w:lang w:val="es-ES"/>
          </w:rPr>
          <w:t>2</w:t>
        </w:r>
        <w:r w:rsidRPr="0092365B">
          <w:rPr>
            <w:rFonts w:ascii="Montserrat" w:hAnsi="Montserrat"/>
          </w:rPr>
          <w:fldChar w:fldCharType="end"/>
        </w:r>
      </w:p>
    </w:sdtContent>
  </w:sdt>
  <w:p w14:paraId="2444D0AE" w14:textId="66A59D20" w:rsidR="0053196D" w:rsidRDefault="00531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7B53" w14:textId="77777777" w:rsidR="00D3175B" w:rsidRDefault="00D3175B" w:rsidP="00EE3A92">
      <w:pPr>
        <w:spacing w:after="0" w:line="240" w:lineRule="auto"/>
      </w:pPr>
      <w:r>
        <w:separator/>
      </w:r>
    </w:p>
  </w:footnote>
  <w:footnote w:type="continuationSeparator" w:id="0">
    <w:p w14:paraId="75C8044A" w14:textId="77777777" w:rsidR="00D3175B" w:rsidRDefault="00D3175B" w:rsidP="00EE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C0FF" w14:textId="0D2672FB" w:rsidR="00235FD1" w:rsidRPr="00235FD1" w:rsidRDefault="003149D7" w:rsidP="003149D7">
    <w:pPr>
      <w:spacing w:after="0"/>
      <w:ind w:left="2977" w:right="3615"/>
      <w:rPr>
        <w:rFonts w:ascii="Montserrat" w:hAnsi="Montserrat"/>
        <w:b/>
        <w:bCs/>
      </w:rPr>
    </w:pPr>
    <w:bookmarkStart w:id="0" w:name="_Hlk53674418"/>
    <w:r>
      <w:rPr>
        <w:rFonts w:ascii="Montserrat" w:hAnsi="Montserrat"/>
        <w:b/>
        <w:bCs/>
        <w:noProof/>
      </w:rPr>
      <w:drawing>
        <wp:anchor distT="0" distB="0" distL="114300" distR="114300" simplePos="0" relativeHeight="251664384" behindDoc="0" locked="0" layoutInCell="1" allowOverlap="1" wp14:anchorId="0DA4ED32" wp14:editId="577D913A">
          <wp:simplePos x="0" y="0"/>
          <wp:positionH relativeFrom="column">
            <wp:posOffset>276308</wp:posOffset>
          </wp:positionH>
          <wp:positionV relativeFrom="paragraph">
            <wp:posOffset>-75869</wp:posOffset>
          </wp:positionV>
          <wp:extent cx="2166924" cy="650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984" cy="655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D5E" w:rsidRPr="00235FD1">
      <w:rPr>
        <w:rFonts w:ascii="Montserrat" w:hAnsi="Montserrat"/>
        <w:b/>
        <w:bCs/>
        <w:noProof/>
      </w:rPr>
      <w:drawing>
        <wp:anchor distT="0" distB="0" distL="114300" distR="114300" simplePos="0" relativeHeight="251660288" behindDoc="0" locked="0" layoutInCell="1" allowOverlap="1" wp14:anchorId="1025BF6A" wp14:editId="21766AED">
          <wp:simplePos x="0" y="0"/>
          <wp:positionH relativeFrom="margin">
            <wp:posOffset>6551930</wp:posOffset>
          </wp:positionH>
          <wp:positionV relativeFrom="paragraph">
            <wp:posOffset>82550</wp:posOffset>
          </wp:positionV>
          <wp:extent cx="1222429" cy="376772"/>
          <wp:effectExtent l="0" t="0" r="0" b="4445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29" cy="37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D5E" w:rsidRPr="00235FD1">
      <w:rPr>
        <w:rFonts w:ascii="Montserrat" w:hAnsi="Montserrat"/>
        <w:b/>
        <w:bCs/>
        <w:noProof/>
      </w:rPr>
      <w:drawing>
        <wp:anchor distT="0" distB="0" distL="114300" distR="114300" simplePos="0" relativeHeight="251661312" behindDoc="0" locked="0" layoutInCell="1" allowOverlap="1" wp14:anchorId="3FD447A8" wp14:editId="45343B2D">
          <wp:simplePos x="0" y="0"/>
          <wp:positionH relativeFrom="column">
            <wp:posOffset>7964170</wp:posOffset>
          </wp:positionH>
          <wp:positionV relativeFrom="paragraph">
            <wp:posOffset>5715</wp:posOffset>
          </wp:positionV>
          <wp:extent cx="469127" cy="527067"/>
          <wp:effectExtent l="0" t="0" r="7620" b="635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127" cy="527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D5E">
      <w:rPr>
        <w:rFonts w:ascii="Montserrat" w:hAnsi="Montserrat"/>
        <w:b/>
        <w:bCs/>
      </w:rPr>
      <w:t xml:space="preserve">                    </w:t>
    </w:r>
    <w:r w:rsidR="00235FD1" w:rsidRPr="00235FD1">
      <w:rPr>
        <w:rFonts w:ascii="Montserrat" w:hAnsi="Montserrat"/>
        <w:b/>
        <w:bCs/>
      </w:rPr>
      <w:t>Comité de Control y Desempeño Institucional</w:t>
    </w:r>
  </w:p>
  <w:p w14:paraId="6C8FB0EE" w14:textId="09794A5C" w:rsidR="00235FD1" w:rsidRPr="00235FD1" w:rsidRDefault="00804D5E" w:rsidP="003149D7">
    <w:pPr>
      <w:spacing w:after="0"/>
      <w:ind w:left="3261" w:right="5175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 xml:space="preserve">                             </w:t>
    </w:r>
    <w:r w:rsidR="00235FD1" w:rsidRPr="00235FD1">
      <w:rPr>
        <w:rFonts w:ascii="Montserrat" w:hAnsi="Montserrat"/>
        <w:b/>
        <w:bCs/>
      </w:rPr>
      <w:t>El Colegio de la Frontera Sur</w:t>
    </w:r>
  </w:p>
  <w:p w14:paraId="5F839771" w14:textId="2B8E0A82" w:rsidR="00235FD1" w:rsidRPr="00235FD1" w:rsidRDefault="00804D5E" w:rsidP="003149D7">
    <w:pPr>
      <w:spacing w:after="160" w:line="259" w:lineRule="auto"/>
      <w:ind w:left="3261" w:right="5175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 xml:space="preserve">                          </w:t>
    </w:r>
    <w:r w:rsidR="003149D7">
      <w:rPr>
        <w:rFonts w:ascii="Montserrat" w:hAnsi="Montserrat"/>
        <w:b/>
        <w:bCs/>
      </w:rPr>
      <w:t>Segunda</w:t>
    </w:r>
    <w:r w:rsidR="00235FD1" w:rsidRPr="00235FD1">
      <w:rPr>
        <w:rFonts w:ascii="Montserrat" w:hAnsi="Montserrat"/>
        <w:b/>
        <w:bCs/>
      </w:rPr>
      <w:t xml:space="preserve"> Sesión Ordinaria 202</w:t>
    </w:r>
    <w:r>
      <w:rPr>
        <w:rFonts w:ascii="Montserrat" w:hAnsi="Montserrat"/>
        <w:b/>
        <w:bCs/>
      </w:rPr>
      <w:t xml:space="preserve">1                               </w:t>
    </w:r>
  </w:p>
  <w:bookmarkEnd w:id="0"/>
  <w:p w14:paraId="0256CD92" w14:textId="2FC956F2" w:rsidR="00EE3A92" w:rsidRDefault="00EE3A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914"/>
    <w:multiLevelType w:val="hybridMultilevel"/>
    <w:tmpl w:val="1DF237E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46D2"/>
    <w:multiLevelType w:val="hybridMultilevel"/>
    <w:tmpl w:val="B3C892BC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1EA091B"/>
    <w:multiLevelType w:val="hybridMultilevel"/>
    <w:tmpl w:val="20360F6E"/>
    <w:lvl w:ilvl="0" w:tplc="3188823E">
      <w:start w:val="3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6D6D"/>
    <w:multiLevelType w:val="hybridMultilevel"/>
    <w:tmpl w:val="5F0E2E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50B7"/>
    <w:multiLevelType w:val="hybridMultilevel"/>
    <w:tmpl w:val="7DC0B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218F1"/>
    <w:multiLevelType w:val="hybridMultilevel"/>
    <w:tmpl w:val="317E3BC0"/>
    <w:lvl w:ilvl="0" w:tplc="90AA49B2">
      <w:start w:val="1"/>
      <w:numFmt w:val="decimal"/>
      <w:lvlText w:val="%1."/>
      <w:lvlJc w:val="left"/>
      <w:pPr>
        <w:ind w:left="1573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249" w:hanging="360"/>
      </w:pPr>
    </w:lvl>
    <w:lvl w:ilvl="2" w:tplc="080A001B" w:tentative="1">
      <w:start w:val="1"/>
      <w:numFmt w:val="lowerRoman"/>
      <w:lvlText w:val="%3."/>
      <w:lvlJc w:val="right"/>
      <w:pPr>
        <w:ind w:left="2969" w:hanging="180"/>
      </w:pPr>
    </w:lvl>
    <w:lvl w:ilvl="3" w:tplc="080A000F" w:tentative="1">
      <w:start w:val="1"/>
      <w:numFmt w:val="decimal"/>
      <w:lvlText w:val="%4."/>
      <w:lvlJc w:val="left"/>
      <w:pPr>
        <w:ind w:left="3689" w:hanging="360"/>
      </w:pPr>
    </w:lvl>
    <w:lvl w:ilvl="4" w:tplc="080A0019" w:tentative="1">
      <w:start w:val="1"/>
      <w:numFmt w:val="lowerLetter"/>
      <w:lvlText w:val="%5."/>
      <w:lvlJc w:val="left"/>
      <w:pPr>
        <w:ind w:left="4409" w:hanging="360"/>
      </w:pPr>
    </w:lvl>
    <w:lvl w:ilvl="5" w:tplc="080A001B" w:tentative="1">
      <w:start w:val="1"/>
      <w:numFmt w:val="lowerRoman"/>
      <w:lvlText w:val="%6."/>
      <w:lvlJc w:val="right"/>
      <w:pPr>
        <w:ind w:left="5129" w:hanging="180"/>
      </w:pPr>
    </w:lvl>
    <w:lvl w:ilvl="6" w:tplc="080A000F" w:tentative="1">
      <w:start w:val="1"/>
      <w:numFmt w:val="decimal"/>
      <w:lvlText w:val="%7."/>
      <w:lvlJc w:val="left"/>
      <w:pPr>
        <w:ind w:left="5849" w:hanging="360"/>
      </w:pPr>
    </w:lvl>
    <w:lvl w:ilvl="7" w:tplc="080A0019" w:tentative="1">
      <w:start w:val="1"/>
      <w:numFmt w:val="lowerLetter"/>
      <w:lvlText w:val="%8."/>
      <w:lvlJc w:val="left"/>
      <w:pPr>
        <w:ind w:left="6569" w:hanging="360"/>
      </w:pPr>
    </w:lvl>
    <w:lvl w:ilvl="8" w:tplc="080A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6" w15:restartNumberingAfterBreak="0">
    <w:nsid w:val="6F031AF7"/>
    <w:multiLevelType w:val="hybridMultilevel"/>
    <w:tmpl w:val="B61E175C"/>
    <w:lvl w:ilvl="0" w:tplc="391C6ED8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E70C7"/>
    <w:multiLevelType w:val="hybridMultilevel"/>
    <w:tmpl w:val="A4F26FE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92"/>
    <w:rsid w:val="00031B2D"/>
    <w:rsid w:val="000B4455"/>
    <w:rsid w:val="000D5782"/>
    <w:rsid w:val="0010490C"/>
    <w:rsid w:val="00123A4A"/>
    <w:rsid w:val="001257F8"/>
    <w:rsid w:val="00140AA7"/>
    <w:rsid w:val="00150E6B"/>
    <w:rsid w:val="00151542"/>
    <w:rsid w:val="001646C1"/>
    <w:rsid w:val="00165204"/>
    <w:rsid w:val="0018186A"/>
    <w:rsid w:val="001A23D5"/>
    <w:rsid w:val="001C0143"/>
    <w:rsid w:val="001D2B22"/>
    <w:rsid w:val="001E114F"/>
    <w:rsid w:val="001F2EC1"/>
    <w:rsid w:val="00221A96"/>
    <w:rsid w:val="00235FD1"/>
    <w:rsid w:val="00250124"/>
    <w:rsid w:val="00262F2A"/>
    <w:rsid w:val="00285398"/>
    <w:rsid w:val="002B1822"/>
    <w:rsid w:val="002D2E56"/>
    <w:rsid w:val="002E122A"/>
    <w:rsid w:val="002F659E"/>
    <w:rsid w:val="003149D7"/>
    <w:rsid w:val="00363768"/>
    <w:rsid w:val="0037260A"/>
    <w:rsid w:val="00383204"/>
    <w:rsid w:val="00395F03"/>
    <w:rsid w:val="003B2B76"/>
    <w:rsid w:val="003B2F18"/>
    <w:rsid w:val="003E4D4F"/>
    <w:rsid w:val="004029EA"/>
    <w:rsid w:val="0041381D"/>
    <w:rsid w:val="00422EE2"/>
    <w:rsid w:val="0046499A"/>
    <w:rsid w:val="004745E4"/>
    <w:rsid w:val="00481A25"/>
    <w:rsid w:val="004A6B85"/>
    <w:rsid w:val="004A7EA5"/>
    <w:rsid w:val="004D2A3D"/>
    <w:rsid w:val="00505A19"/>
    <w:rsid w:val="0053196D"/>
    <w:rsid w:val="005636B7"/>
    <w:rsid w:val="0056789B"/>
    <w:rsid w:val="00593986"/>
    <w:rsid w:val="005B2C6D"/>
    <w:rsid w:val="005D0BB7"/>
    <w:rsid w:val="005E2EBD"/>
    <w:rsid w:val="005F1159"/>
    <w:rsid w:val="00685AD0"/>
    <w:rsid w:val="00694730"/>
    <w:rsid w:val="006C049E"/>
    <w:rsid w:val="006D63FA"/>
    <w:rsid w:val="006E58E8"/>
    <w:rsid w:val="007038E0"/>
    <w:rsid w:val="00717AAF"/>
    <w:rsid w:val="007559AB"/>
    <w:rsid w:val="007914D9"/>
    <w:rsid w:val="007B64B3"/>
    <w:rsid w:val="007E12DE"/>
    <w:rsid w:val="007E5723"/>
    <w:rsid w:val="00800F26"/>
    <w:rsid w:val="00804D5E"/>
    <w:rsid w:val="00836CCF"/>
    <w:rsid w:val="0089236C"/>
    <w:rsid w:val="008E781C"/>
    <w:rsid w:val="008F32C5"/>
    <w:rsid w:val="008F6A3B"/>
    <w:rsid w:val="0090240C"/>
    <w:rsid w:val="0092365B"/>
    <w:rsid w:val="00934FA8"/>
    <w:rsid w:val="00966885"/>
    <w:rsid w:val="00974567"/>
    <w:rsid w:val="00977346"/>
    <w:rsid w:val="00977DAF"/>
    <w:rsid w:val="009930AA"/>
    <w:rsid w:val="00993DC9"/>
    <w:rsid w:val="009C083F"/>
    <w:rsid w:val="00A40EB0"/>
    <w:rsid w:val="00A4169E"/>
    <w:rsid w:val="00A644B3"/>
    <w:rsid w:val="00A77AD2"/>
    <w:rsid w:val="00A81726"/>
    <w:rsid w:val="00B049FF"/>
    <w:rsid w:val="00B10E57"/>
    <w:rsid w:val="00BA0A40"/>
    <w:rsid w:val="00BA1640"/>
    <w:rsid w:val="00BC504E"/>
    <w:rsid w:val="00C0784D"/>
    <w:rsid w:val="00C13EEB"/>
    <w:rsid w:val="00C70AD5"/>
    <w:rsid w:val="00C77F88"/>
    <w:rsid w:val="00C85BC8"/>
    <w:rsid w:val="00CB46FE"/>
    <w:rsid w:val="00CB4FAF"/>
    <w:rsid w:val="00CB7FA2"/>
    <w:rsid w:val="00CD4D1D"/>
    <w:rsid w:val="00D20200"/>
    <w:rsid w:val="00D268D4"/>
    <w:rsid w:val="00D3175B"/>
    <w:rsid w:val="00D344DE"/>
    <w:rsid w:val="00D665FF"/>
    <w:rsid w:val="00D81EB8"/>
    <w:rsid w:val="00D861BD"/>
    <w:rsid w:val="00D97B84"/>
    <w:rsid w:val="00DA478D"/>
    <w:rsid w:val="00DF3E0B"/>
    <w:rsid w:val="00E04F3E"/>
    <w:rsid w:val="00E302D2"/>
    <w:rsid w:val="00E44880"/>
    <w:rsid w:val="00E56F70"/>
    <w:rsid w:val="00E6274B"/>
    <w:rsid w:val="00E77226"/>
    <w:rsid w:val="00ED4F5C"/>
    <w:rsid w:val="00EE3A92"/>
    <w:rsid w:val="00F125CF"/>
    <w:rsid w:val="00F22014"/>
    <w:rsid w:val="00F327CA"/>
    <w:rsid w:val="00F342A3"/>
    <w:rsid w:val="00F44A5C"/>
    <w:rsid w:val="00F7234D"/>
    <w:rsid w:val="00F96953"/>
    <w:rsid w:val="00FA60ED"/>
    <w:rsid w:val="00FB3102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0B6C4"/>
  <w15:chartTrackingRefBased/>
  <w15:docId w15:val="{A5597DEE-981F-4209-AC7F-3CDDE72E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92"/>
    <w:pPr>
      <w:spacing w:after="12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A92"/>
  </w:style>
  <w:style w:type="paragraph" w:styleId="Piedepgina">
    <w:name w:val="footer"/>
    <w:basedOn w:val="Normal"/>
    <w:link w:val="PiedepginaCar"/>
    <w:uiPriority w:val="99"/>
    <w:unhideWhenUsed/>
    <w:rsid w:val="00EE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92"/>
  </w:style>
  <w:style w:type="table" w:styleId="Tablaconcuadrcula">
    <w:name w:val="Table Grid"/>
    <w:basedOn w:val="Tablanormal"/>
    <w:uiPriority w:val="39"/>
    <w:rsid w:val="00EE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02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</dc:creator>
  <cp:keywords/>
  <dc:description/>
  <cp:lastModifiedBy>Claudia</cp:lastModifiedBy>
  <cp:revision>4</cp:revision>
  <cp:lastPrinted>2020-08-06T15:20:00Z</cp:lastPrinted>
  <dcterms:created xsi:type="dcterms:W3CDTF">2021-04-14T22:29:00Z</dcterms:created>
  <dcterms:modified xsi:type="dcterms:W3CDTF">2021-04-16T18:22:00Z</dcterms:modified>
</cp:coreProperties>
</file>