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27B0" w14:textId="77777777" w:rsidR="005255BE" w:rsidRPr="005255BE" w:rsidRDefault="005255BE" w:rsidP="005255BE">
      <w:pPr>
        <w:spacing w:after="160" w:line="276" w:lineRule="auto"/>
        <w:ind w:left="567" w:hanging="567"/>
        <w:rPr>
          <w:rFonts w:ascii="Montserrat" w:eastAsia="Calibri" w:hAnsi="Montserrat" w:cs="Times New Roman"/>
          <w:b/>
          <w:bCs/>
          <w:sz w:val="28"/>
          <w:szCs w:val="28"/>
        </w:rPr>
      </w:pPr>
      <w:r w:rsidRPr="005255BE">
        <w:rPr>
          <w:rFonts w:ascii="Montserrat" w:eastAsia="Calibri" w:hAnsi="Montserrat" w:cs="Times New Roman"/>
          <w:b/>
          <w:bCs/>
          <w:sz w:val="28"/>
          <w:szCs w:val="28"/>
        </w:rPr>
        <w:t>XIII. Seguimiento al Programa Nacional de Combate a la Corrupción y la Impunidad, y de Mejora de Gestión Pública 2019-2024</w:t>
      </w:r>
    </w:p>
    <w:p w14:paraId="2896073C" w14:textId="50C65CD9" w:rsidR="00301373" w:rsidRDefault="00301373" w:rsidP="005255BE">
      <w:pPr>
        <w:spacing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sz w:val="22"/>
          <w:szCs w:val="22"/>
        </w:rPr>
        <w:t xml:space="preserve">A partir de la publicación del </w:t>
      </w:r>
      <w:r w:rsidRPr="00301373">
        <w:rPr>
          <w:rFonts w:ascii="Montserrat" w:eastAsia="Calibri" w:hAnsi="Montserrat" w:cs="Times New Roman"/>
          <w:i/>
          <w:iCs/>
          <w:sz w:val="22"/>
          <w:szCs w:val="22"/>
        </w:rPr>
        <w:t>Programa Nacional de Combate a la Corrupción y a la Impunidad, y de Mejora de la Gestión Pública 2019-2024</w:t>
      </w:r>
      <w:r w:rsidRPr="00301373">
        <w:rPr>
          <w:rFonts w:ascii="Montserrat" w:eastAsia="Calibri" w:hAnsi="Montserrat" w:cs="Times New Roman"/>
          <w:sz w:val="22"/>
          <w:szCs w:val="22"/>
        </w:rPr>
        <w:t xml:space="preserve">, el 30 de agosto de 2019, se estableció el compromiso para ECOSUR de llevar a cabo 47 acciones: </w:t>
      </w:r>
      <w:r w:rsidRPr="00301373">
        <w:rPr>
          <w:rFonts w:ascii="Montserrat" w:eastAsia="Calibri" w:hAnsi="Montserrat" w:cs="Times New Roman"/>
          <w:color w:val="000000" w:themeColor="text1"/>
          <w:sz w:val="22"/>
          <w:szCs w:val="22"/>
        </w:rPr>
        <w:t>8 del objetivo 1 Combate a la corrupción; 10 del objetivo 2 Combate impunidad; 12 del objetivo 3 Mejora de la gestión pública; 10 del objetivo 4 Programa de recursos humanos y 7 del objetivo 5 Uso de bienes. Igualmente, se asumen 12 indicadores</w:t>
      </w:r>
      <w:r>
        <w:rPr>
          <w:rFonts w:ascii="Montserrat" w:eastAsia="Calibri" w:hAnsi="Montserrat" w:cs="Times New Roman"/>
          <w:color w:val="000000" w:themeColor="text1"/>
          <w:sz w:val="22"/>
          <w:szCs w:val="22"/>
        </w:rPr>
        <w:t xml:space="preserve"> de temporalidades diferentes. </w:t>
      </w:r>
    </w:p>
    <w:p w14:paraId="64E4D695" w14:textId="77777777" w:rsidR="00301373" w:rsidRPr="00301373" w:rsidRDefault="00301373" w:rsidP="005255BE">
      <w:pPr>
        <w:spacing w:line="276" w:lineRule="auto"/>
        <w:jc w:val="both"/>
        <w:rPr>
          <w:rFonts w:ascii="Montserrat" w:eastAsia="Calibri" w:hAnsi="Montserrat" w:cs="Times New Roman"/>
          <w:color w:val="000000" w:themeColor="text1"/>
          <w:sz w:val="22"/>
          <w:szCs w:val="22"/>
        </w:rPr>
      </w:pPr>
    </w:p>
    <w:p w14:paraId="1EA04CFC" w14:textId="4188C4E7" w:rsidR="00301373" w:rsidRPr="00301373" w:rsidRDefault="00301373" w:rsidP="005255BE">
      <w:pPr>
        <w:spacing w:after="160"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color w:val="000000" w:themeColor="text1"/>
          <w:sz w:val="22"/>
          <w:szCs w:val="22"/>
        </w:rPr>
        <w:t xml:space="preserve">En la primera quincena de </w:t>
      </w:r>
      <w:r w:rsidR="00F55D12">
        <w:rPr>
          <w:rFonts w:ascii="Montserrat" w:eastAsia="Calibri" w:hAnsi="Montserrat" w:cs="Times New Roman"/>
          <w:color w:val="000000" w:themeColor="text1"/>
          <w:sz w:val="22"/>
          <w:szCs w:val="22"/>
        </w:rPr>
        <w:t>abril</w:t>
      </w:r>
      <w:r w:rsidRPr="00301373">
        <w:rPr>
          <w:rFonts w:ascii="Montserrat" w:eastAsia="Calibri" w:hAnsi="Montserrat" w:cs="Times New Roman"/>
          <w:color w:val="000000" w:themeColor="text1"/>
          <w:sz w:val="22"/>
          <w:szCs w:val="22"/>
        </w:rPr>
        <w:t xml:space="preserve"> 2021, la institución informó en tiempo y forma de los avances realizad</w:t>
      </w:r>
      <w:r>
        <w:rPr>
          <w:rFonts w:ascii="Montserrat" w:eastAsia="Calibri" w:hAnsi="Montserrat" w:cs="Times New Roman"/>
          <w:color w:val="000000" w:themeColor="text1"/>
          <w:sz w:val="22"/>
          <w:szCs w:val="22"/>
        </w:rPr>
        <w:t>o</w:t>
      </w:r>
      <w:r w:rsidRPr="00301373">
        <w:rPr>
          <w:rFonts w:ascii="Montserrat" w:eastAsia="Calibri" w:hAnsi="Montserrat" w:cs="Times New Roman"/>
          <w:color w:val="000000" w:themeColor="text1"/>
          <w:sz w:val="22"/>
          <w:szCs w:val="22"/>
        </w:rPr>
        <w:t xml:space="preserve">s en el </w:t>
      </w:r>
      <w:r w:rsidR="00F55D12">
        <w:rPr>
          <w:rFonts w:ascii="Montserrat" w:eastAsia="Calibri" w:hAnsi="Montserrat" w:cs="Times New Roman"/>
          <w:color w:val="000000" w:themeColor="text1"/>
          <w:sz w:val="22"/>
          <w:szCs w:val="22"/>
        </w:rPr>
        <w:t>primer trimestre</w:t>
      </w:r>
      <w:r w:rsidRPr="00301373">
        <w:rPr>
          <w:rFonts w:ascii="Montserrat" w:eastAsia="Calibri" w:hAnsi="Montserrat" w:cs="Times New Roman"/>
          <w:color w:val="000000" w:themeColor="text1"/>
          <w:sz w:val="22"/>
          <w:szCs w:val="22"/>
        </w:rPr>
        <w:t xml:space="preserve">, a través del sistema habilitado en el Portal de Aplicaciones de la SHCP. </w:t>
      </w:r>
    </w:p>
    <w:p w14:paraId="06B61E44" w14:textId="38991CBC" w:rsidR="00301373" w:rsidRPr="00301373" w:rsidRDefault="00301373" w:rsidP="005255BE">
      <w:pPr>
        <w:spacing w:after="160" w:line="276" w:lineRule="auto"/>
        <w:jc w:val="both"/>
        <w:rPr>
          <w:rFonts w:ascii="Montserrat" w:eastAsia="Calibri" w:hAnsi="Montserrat" w:cs="Times New Roman"/>
          <w:color w:val="000000" w:themeColor="text1"/>
          <w:sz w:val="22"/>
          <w:szCs w:val="22"/>
        </w:rPr>
      </w:pPr>
      <w:r w:rsidRPr="00301373">
        <w:rPr>
          <w:rFonts w:ascii="Montserrat" w:eastAsia="Calibri" w:hAnsi="Montserrat" w:cs="Times New Roman"/>
          <w:color w:val="000000" w:themeColor="text1"/>
          <w:sz w:val="22"/>
          <w:szCs w:val="22"/>
        </w:rPr>
        <w:t>A continuación</w:t>
      </w:r>
      <w:r>
        <w:rPr>
          <w:rFonts w:ascii="Montserrat" w:eastAsia="Calibri" w:hAnsi="Montserrat" w:cs="Times New Roman"/>
          <w:color w:val="000000" w:themeColor="text1"/>
          <w:sz w:val="22"/>
          <w:szCs w:val="22"/>
        </w:rPr>
        <w:t>,</w:t>
      </w:r>
      <w:r w:rsidRPr="00301373">
        <w:rPr>
          <w:rFonts w:ascii="Montserrat" w:eastAsia="Calibri" w:hAnsi="Montserrat" w:cs="Times New Roman"/>
          <w:color w:val="000000" w:themeColor="text1"/>
          <w:sz w:val="22"/>
          <w:szCs w:val="22"/>
        </w:rPr>
        <w:t xml:space="preserve"> se </w:t>
      </w:r>
      <w:r>
        <w:rPr>
          <w:rFonts w:ascii="Montserrat" w:eastAsia="Calibri" w:hAnsi="Montserrat" w:cs="Times New Roman"/>
          <w:color w:val="000000" w:themeColor="text1"/>
          <w:sz w:val="22"/>
          <w:szCs w:val="22"/>
        </w:rPr>
        <w:t>muestran</w:t>
      </w:r>
      <w:r w:rsidRPr="00301373">
        <w:rPr>
          <w:rFonts w:ascii="Montserrat" w:eastAsia="Calibri" w:hAnsi="Montserrat" w:cs="Times New Roman"/>
          <w:color w:val="000000" w:themeColor="text1"/>
          <w:sz w:val="22"/>
          <w:szCs w:val="22"/>
        </w:rPr>
        <w:t xml:space="preserve"> </w:t>
      </w:r>
      <w:r w:rsidR="002F2039">
        <w:rPr>
          <w:rFonts w:ascii="Montserrat" w:eastAsia="Calibri" w:hAnsi="Montserrat" w:cs="Times New Roman"/>
          <w:color w:val="000000" w:themeColor="text1"/>
          <w:sz w:val="22"/>
          <w:szCs w:val="22"/>
        </w:rPr>
        <w:t>algunos datos sobre los</w:t>
      </w:r>
      <w:r w:rsidRPr="00301373">
        <w:rPr>
          <w:rFonts w:ascii="Montserrat" w:eastAsia="Calibri" w:hAnsi="Montserrat" w:cs="Times New Roman"/>
          <w:color w:val="000000" w:themeColor="text1"/>
          <w:sz w:val="22"/>
          <w:szCs w:val="22"/>
        </w:rPr>
        <w:t xml:space="preserve"> avances de ECOSUR respecto a este Programa.</w:t>
      </w:r>
    </w:p>
    <w:p w14:paraId="13B3CB75" w14:textId="011D3E3E" w:rsidR="00301373" w:rsidRPr="00301373" w:rsidRDefault="00301373" w:rsidP="005255BE">
      <w:pPr>
        <w:spacing w:line="276" w:lineRule="auto"/>
        <w:jc w:val="both"/>
        <w:rPr>
          <w:rFonts w:ascii="Montserrat" w:eastAsia="Calibri" w:hAnsi="Montserrat" w:cs="Times New Roman"/>
          <w:color w:val="000000" w:themeColor="text1"/>
          <w:sz w:val="22"/>
          <w:szCs w:val="22"/>
        </w:rPr>
      </w:pPr>
      <w:bookmarkStart w:id="0" w:name="_Hlk69386216"/>
      <w:r w:rsidRPr="00301373">
        <w:rPr>
          <w:rFonts w:ascii="Montserrat" w:eastAsia="Calibri" w:hAnsi="Montserrat" w:cs="Times New Roman"/>
          <w:color w:val="000000" w:themeColor="text1"/>
          <w:sz w:val="22"/>
          <w:szCs w:val="22"/>
        </w:rPr>
        <w:t>Tabla 1. Avances en compromisos</w:t>
      </w:r>
      <w:r w:rsidR="00F55D12">
        <w:rPr>
          <w:rFonts w:ascii="Montserrat" w:eastAsia="Calibri" w:hAnsi="Montserrat" w:cs="Times New Roman"/>
          <w:color w:val="000000" w:themeColor="text1"/>
          <w:sz w:val="22"/>
          <w:szCs w:val="22"/>
        </w:rPr>
        <w:t>-Primer trimestre 2021</w:t>
      </w:r>
    </w:p>
    <w:tbl>
      <w:tblPr>
        <w:tblStyle w:val="Tablaconcuadrcula"/>
        <w:tblW w:w="8931" w:type="dxa"/>
        <w:tblInd w:w="-5" w:type="dxa"/>
        <w:tblLook w:val="04A0" w:firstRow="1" w:lastRow="0" w:firstColumn="1" w:lastColumn="0" w:noHBand="0" w:noVBand="1"/>
      </w:tblPr>
      <w:tblGrid>
        <w:gridCol w:w="2466"/>
        <w:gridCol w:w="2070"/>
        <w:gridCol w:w="2268"/>
        <w:gridCol w:w="2127"/>
      </w:tblGrid>
      <w:tr w:rsidR="005F58F1" w:rsidRPr="00301373" w14:paraId="118689C6" w14:textId="25F0ECBA" w:rsidTr="00371747">
        <w:trPr>
          <w:trHeight w:val="1229"/>
        </w:trPr>
        <w:tc>
          <w:tcPr>
            <w:tcW w:w="2466" w:type="dxa"/>
            <w:tcBorders>
              <w:right w:val="double" w:sz="4" w:space="0" w:color="auto"/>
            </w:tcBorders>
          </w:tcPr>
          <w:bookmarkEnd w:id="0"/>
          <w:p w14:paraId="7390F62E" w14:textId="77777777" w:rsidR="005F58F1" w:rsidRPr="00301373" w:rsidRDefault="005F58F1" w:rsidP="005255BE">
            <w:pPr>
              <w:spacing w:line="276" w:lineRule="auto"/>
              <w:jc w:val="center"/>
              <w:rPr>
                <w:rFonts w:ascii="Montserrat" w:hAnsi="Montserrat"/>
                <w:b/>
                <w:bCs/>
                <w:sz w:val="22"/>
                <w:szCs w:val="22"/>
              </w:rPr>
            </w:pPr>
            <w:r w:rsidRPr="00301373">
              <w:rPr>
                <w:rFonts w:ascii="Montserrat" w:hAnsi="Montserrat"/>
                <w:color w:val="000000" w:themeColor="text1"/>
                <w:sz w:val="22"/>
                <w:szCs w:val="22"/>
              </w:rPr>
              <w:t xml:space="preserve"> </w:t>
            </w:r>
            <w:r w:rsidRPr="00301373">
              <w:rPr>
                <w:rFonts w:ascii="Montserrat" w:hAnsi="Montserrat"/>
                <w:b/>
                <w:bCs/>
                <w:sz w:val="22"/>
                <w:szCs w:val="22"/>
              </w:rPr>
              <w:t>Programa</w:t>
            </w:r>
          </w:p>
        </w:tc>
        <w:tc>
          <w:tcPr>
            <w:tcW w:w="2070" w:type="dxa"/>
            <w:tcBorders>
              <w:left w:val="double" w:sz="4" w:space="0" w:color="auto"/>
            </w:tcBorders>
            <w:shd w:val="clear" w:color="auto" w:fill="auto"/>
          </w:tcPr>
          <w:p w14:paraId="1B414923" w14:textId="77777777" w:rsidR="005F58F1" w:rsidRPr="00AB26CC" w:rsidRDefault="005F58F1" w:rsidP="005255BE">
            <w:pPr>
              <w:spacing w:line="276" w:lineRule="auto"/>
              <w:jc w:val="center"/>
              <w:rPr>
                <w:rFonts w:ascii="Montserrat" w:hAnsi="Montserrat"/>
                <w:b/>
                <w:bCs/>
                <w:sz w:val="22"/>
                <w:szCs w:val="22"/>
              </w:rPr>
            </w:pPr>
            <w:r w:rsidRPr="00AB26CC">
              <w:rPr>
                <w:rFonts w:ascii="Montserrat" w:hAnsi="Montserrat"/>
                <w:b/>
                <w:bCs/>
                <w:sz w:val="22"/>
                <w:szCs w:val="22"/>
              </w:rPr>
              <w:t>Compromisos con acciones realizadas</w:t>
            </w:r>
          </w:p>
        </w:tc>
        <w:tc>
          <w:tcPr>
            <w:tcW w:w="2268" w:type="dxa"/>
            <w:tcBorders>
              <w:right w:val="double" w:sz="4" w:space="0" w:color="auto"/>
            </w:tcBorders>
          </w:tcPr>
          <w:p w14:paraId="329F7219" w14:textId="77777777" w:rsidR="005F58F1" w:rsidRPr="00301373" w:rsidRDefault="005F58F1" w:rsidP="005255BE">
            <w:pPr>
              <w:spacing w:line="276" w:lineRule="auto"/>
              <w:jc w:val="center"/>
              <w:rPr>
                <w:rFonts w:ascii="Montserrat" w:hAnsi="Montserrat"/>
                <w:b/>
                <w:bCs/>
                <w:sz w:val="22"/>
                <w:szCs w:val="22"/>
              </w:rPr>
            </w:pPr>
            <w:r w:rsidRPr="00301373">
              <w:rPr>
                <w:rFonts w:ascii="Montserrat" w:hAnsi="Montserrat"/>
                <w:b/>
                <w:bCs/>
                <w:sz w:val="22"/>
                <w:szCs w:val="22"/>
              </w:rPr>
              <w:t>Compromisos sin avances o no aplicables en el trimestre</w:t>
            </w:r>
          </w:p>
        </w:tc>
        <w:tc>
          <w:tcPr>
            <w:tcW w:w="2127" w:type="dxa"/>
            <w:tcBorders>
              <w:right w:val="double" w:sz="4" w:space="0" w:color="auto"/>
            </w:tcBorders>
          </w:tcPr>
          <w:p w14:paraId="26B65B90" w14:textId="513DBB6D" w:rsidR="005F58F1" w:rsidRPr="00301373" w:rsidRDefault="005F58F1" w:rsidP="005255BE">
            <w:pPr>
              <w:spacing w:line="276" w:lineRule="auto"/>
              <w:jc w:val="center"/>
              <w:rPr>
                <w:rFonts w:ascii="Montserrat" w:hAnsi="Montserrat"/>
                <w:b/>
                <w:bCs/>
                <w:sz w:val="22"/>
                <w:szCs w:val="22"/>
              </w:rPr>
            </w:pPr>
            <w:r>
              <w:rPr>
                <w:rFonts w:ascii="Montserrat" w:hAnsi="Montserrat"/>
                <w:b/>
                <w:bCs/>
                <w:sz w:val="22"/>
                <w:szCs w:val="22"/>
              </w:rPr>
              <w:t>Total</w:t>
            </w:r>
          </w:p>
        </w:tc>
      </w:tr>
      <w:tr w:rsidR="005F58F1" w:rsidRPr="00301373" w14:paraId="01D7AF6D" w14:textId="3CE35B6F" w:rsidTr="00371747">
        <w:tc>
          <w:tcPr>
            <w:tcW w:w="2466" w:type="dxa"/>
            <w:tcBorders>
              <w:right w:val="double" w:sz="4" w:space="0" w:color="auto"/>
            </w:tcBorders>
          </w:tcPr>
          <w:p w14:paraId="71601F9B"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Combate Corrupción (CC)</w:t>
            </w:r>
          </w:p>
        </w:tc>
        <w:tc>
          <w:tcPr>
            <w:tcW w:w="2070" w:type="dxa"/>
            <w:tcBorders>
              <w:left w:val="double" w:sz="4" w:space="0" w:color="auto"/>
            </w:tcBorders>
            <w:shd w:val="clear" w:color="auto" w:fill="auto"/>
          </w:tcPr>
          <w:p w14:paraId="0FA983BC" w14:textId="0DD0CEED" w:rsidR="005F58F1" w:rsidRPr="00AB26CC" w:rsidRDefault="005F58F1" w:rsidP="005255BE">
            <w:pPr>
              <w:spacing w:line="276" w:lineRule="auto"/>
              <w:jc w:val="center"/>
              <w:rPr>
                <w:rFonts w:ascii="Montserrat" w:hAnsi="Montserrat"/>
                <w:sz w:val="22"/>
                <w:szCs w:val="22"/>
              </w:rPr>
            </w:pPr>
            <w:r w:rsidRPr="00AB26CC">
              <w:rPr>
                <w:rFonts w:ascii="Montserrat" w:hAnsi="Montserrat"/>
                <w:sz w:val="22"/>
                <w:szCs w:val="22"/>
              </w:rPr>
              <w:t>6</w:t>
            </w:r>
            <w:r w:rsidR="00371747">
              <w:rPr>
                <w:rFonts w:ascii="Montserrat" w:hAnsi="Montserrat"/>
                <w:sz w:val="22"/>
                <w:szCs w:val="22"/>
              </w:rPr>
              <w:t xml:space="preserve"> </w:t>
            </w:r>
            <w:r w:rsidR="00F83987">
              <w:rPr>
                <w:rFonts w:ascii="Montserrat" w:hAnsi="Montserrat"/>
                <w:sz w:val="22"/>
                <w:szCs w:val="22"/>
              </w:rPr>
              <w:t>(75%)</w:t>
            </w:r>
          </w:p>
        </w:tc>
        <w:tc>
          <w:tcPr>
            <w:tcW w:w="2268" w:type="dxa"/>
            <w:tcBorders>
              <w:right w:val="double" w:sz="4" w:space="0" w:color="auto"/>
            </w:tcBorders>
          </w:tcPr>
          <w:p w14:paraId="752F71AD" w14:textId="77777777" w:rsidR="005F58F1" w:rsidRPr="00301373" w:rsidRDefault="005F58F1" w:rsidP="005255BE">
            <w:pPr>
              <w:spacing w:line="276" w:lineRule="auto"/>
              <w:jc w:val="center"/>
              <w:rPr>
                <w:rFonts w:ascii="Montserrat" w:hAnsi="Montserrat"/>
                <w:sz w:val="22"/>
                <w:szCs w:val="22"/>
              </w:rPr>
            </w:pPr>
            <w:r w:rsidRPr="00301373">
              <w:rPr>
                <w:rFonts w:ascii="Montserrat" w:hAnsi="Montserrat"/>
                <w:sz w:val="22"/>
                <w:szCs w:val="22"/>
              </w:rPr>
              <w:t>2</w:t>
            </w:r>
          </w:p>
        </w:tc>
        <w:tc>
          <w:tcPr>
            <w:tcW w:w="2127" w:type="dxa"/>
            <w:tcBorders>
              <w:right w:val="double" w:sz="4" w:space="0" w:color="auto"/>
            </w:tcBorders>
          </w:tcPr>
          <w:p w14:paraId="79378D09" w14:textId="13C67E34" w:rsidR="005F58F1" w:rsidRPr="005F58F1" w:rsidRDefault="005F58F1" w:rsidP="005255BE">
            <w:pPr>
              <w:spacing w:line="276" w:lineRule="auto"/>
              <w:jc w:val="center"/>
              <w:rPr>
                <w:rFonts w:ascii="Montserrat" w:hAnsi="Montserrat"/>
                <w:b/>
                <w:bCs/>
                <w:sz w:val="22"/>
                <w:szCs w:val="22"/>
              </w:rPr>
            </w:pPr>
            <w:r w:rsidRPr="005F58F1">
              <w:rPr>
                <w:rFonts w:ascii="Montserrat" w:hAnsi="Montserrat"/>
                <w:b/>
                <w:bCs/>
                <w:sz w:val="22"/>
                <w:szCs w:val="22"/>
              </w:rPr>
              <w:t>8</w:t>
            </w:r>
            <w:r w:rsidR="00371747">
              <w:rPr>
                <w:rFonts w:ascii="Montserrat" w:hAnsi="Montserrat"/>
                <w:b/>
                <w:bCs/>
                <w:sz w:val="22"/>
                <w:szCs w:val="22"/>
              </w:rPr>
              <w:t xml:space="preserve"> </w:t>
            </w:r>
          </w:p>
        </w:tc>
      </w:tr>
      <w:tr w:rsidR="005F58F1" w:rsidRPr="00301373" w14:paraId="5FCD294D" w14:textId="632A78B2" w:rsidTr="00371747">
        <w:tc>
          <w:tcPr>
            <w:tcW w:w="2466" w:type="dxa"/>
            <w:tcBorders>
              <w:right w:val="double" w:sz="4" w:space="0" w:color="auto"/>
            </w:tcBorders>
          </w:tcPr>
          <w:p w14:paraId="4A718F09"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Combate Impunidad (CI)</w:t>
            </w:r>
          </w:p>
        </w:tc>
        <w:tc>
          <w:tcPr>
            <w:tcW w:w="2070" w:type="dxa"/>
            <w:tcBorders>
              <w:left w:val="double" w:sz="4" w:space="0" w:color="auto"/>
            </w:tcBorders>
            <w:shd w:val="clear" w:color="auto" w:fill="auto"/>
          </w:tcPr>
          <w:p w14:paraId="01892D15" w14:textId="0CE14FD9" w:rsidR="005F58F1" w:rsidRPr="00AB26CC" w:rsidRDefault="00AB26CC" w:rsidP="005255BE">
            <w:pPr>
              <w:spacing w:line="276" w:lineRule="auto"/>
              <w:jc w:val="center"/>
              <w:rPr>
                <w:rFonts w:ascii="Montserrat" w:hAnsi="Montserrat"/>
                <w:sz w:val="22"/>
                <w:szCs w:val="22"/>
              </w:rPr>
            </w:pPr>
            <w:r w:rsidRPr="00AB26CC">
              <w:rPr>
                <w:rFonts w:ascii="Montserrat" w:hAnsi="Montserrat"/>
                <w:sz w:val="22"/>
                <w:szCs w:val="22"/>
              </w:rPr>
              <w:t>5</w:t>
            </w:r>
            <w:r w:rsidR="00371747">
              <w:rPr>
                <w:rFonts w:ascii="Montserrat" w:hAnsi="Montserrat"/>
                <w:sz w:val="22"/>
                <w:szCs w:val="22"/>
              </w:rPr>
              <w:t xml:space="preserve"> (50%)</w:t>
            </w:r>
          </w:p>
        </w:tc>
        <w:tc>
          <w:tcPr>
            <w:tcW w:w="2268" w:type="dxa"/>
            <w:tcBorders>
              <w:right w:val="double" w:sz="4" w:space="0" w:color="auto"/>
            </w:tcBorders>
          </w:tcPr>
          <w:p w14:paraId="06933CD3" w14:textId="03D8EC65" w:rsidR="005F58F1" w:rsidRPr="00301373" w:rsidRDefault="00AB26CC" w:rsidP="005255BE">
            <w:pPr>
              <w:spacing w:line="276" w:lineRule="auto"/>
              <w:jc w:val="center"/>
              <w:rPr>
                <w:rFonts w:ascii="Montserrat" w:hAnsi="Montserrat"/>
                <w:sz w:val="22"/>
                <w:szCs w:val="22"/>
              </w:rPr>
            </w:pPr>
            <w:r>
              <w:rPr>
                <w:rFonts w:ascii="Montserrat" w:hAnsi="Montserrat"/>
                <w:sz w:val="22"/>
                <w:szCs w:val="22"/>
              </w:rPr>
              <w:t>5</w:t>
            </w:r>
          </w:p>
        </w:tc>
        <w:tc>
          <w:tcPr>
            <w:tcW w:w="2127" w:type="dxa"/>
            <w:tcBorders>
              <w:right w:val="double" w:sz="4" w:space="0" w:color="auto"/>
            </w:tcBorders>
          </w:tcPr>
          <w:p w14:paraId="6F652A30" w14:textId="0E0ED97D" w:rsidR="005F58F1" w:rsidRPr="005F58F1" w:rsidRDefault="005F58F1" w:rsidP="005255BE">
            <w:pPr>
              <w:spacing w:line="276" w:lineRule="auto"/>
              <w:jc w:val="center"/>
              <w:rPr>
                <w:rFonts w:ascii="Montserrat" w:hAnsi="Montserrat"/>
                <w:b/>
                <w:bCs/>
                <w:sz w:val="22"/>
                <w:szCs w:val="22"/>
              </w:rPr>
            </w:pPr>
            <w:r w:rsidRPr="005F58F1">
              <w:rPr>
                <w:rFonts w:ascii="Montserrat" w:hAnsi="Montserrat"/>
                <w:b/>
                <w:bCs/>
                <w:sz w:val="22"/>
                <w:szCs w:val="22"/>
              </w:rPr>
              <w:t>10</w:t>
            </w:r>
          </w:p>
        </w:tc>
      </w:tr>
      <w:tr w:rsidR="005F58F1" w:rsidRPr="00301373" w14:paraId="5B99BCC7" w14:textId="1710785D" w:rsidTr="00371747">
        <w:tc>
          <w:tcPr>
            <w:tcW w:w="2466" w:type="dxa"/>
            <w:tcBorders>
              <w:right w:val="double" w:sz="4" w:space="0" w:color="auto"/>
            </w:tcBorders>
          </w:tcPr>
          <w:p w14:paraId="5CB65F10" w14:textId="77777777" w:rsidR="005F58F1" w:rsidRPr="00301373" w:rsidRDefault="005F58F1" w:rsidP="005255BE">
            <w:pPr>
              <w:spacing w:line="276" w:lineRule="auto"/>
              <w:rPr>
                <w:rFonts w:ascii="Montserrat" w:hAnsi="Montserrat"/>
                <w:sz w:val="22"/>
                <w:szCs w:val="22"/>
              </w:rPr>
            </w:pPr>
            <w:r w:rsidRPr="00301373">
              <w:rPr>
                <w:rFonts w:ascii="Montserrat" w:hAnsi="Montserrat"/>
                <w:sz w:val="22"/>
                <w:szCs w:val="22"/>
              </w:rPr>
              <w:t>Mejora Gestión Pública (MGP)</w:t>
            </w:r>
          </w:p>
        </w:tc>
        <w:tc>
          <w:tcPr>
            <w:tcW w:w="2070" w:type="dxa"/>
            <w:tcBorders>
              <w:left w:val="double" w:sz="4" w:space="0" w:color="auto"/>
            </w:tcBorders>
            <w:shd w:val="clear" w:color="auto" w:fill="auto"/>
          </w:tcPr>
          <w:p w14:paraId="5B69DED3" w14:textId="58868C62" w:rsidR="005F58F1" w:rsidRPr="00AB26CC" w:rsidRDefault="005F58F1" w:rsidP="005255BE">
            <w:pPr>
              <w:spacing w:line="276" w:lineRule="auto"/>
              <w:jc w:val="center"/>
              <w:rPr>
                <w:rFonts w:ascii="Montserrat" w:hAnsi="Montserrat"/>
                <w:sz w:val="22"/>
                <w:szCs w:val="22"/>
              </w:rPr>
            </w:pPr>
            <w:r w:rsidRPr="00AB26CC">
              <w:rPr>
                <w:rFonts w:ascii="Montserrat" w:hAnsi="Montserrat"/>
                <w:sz w:val="22"/>
                <w:szCs w:val="22"/>
              </w:rPr>
              <w:t>12</w:t>
            </w:r>
            <w:r w:rsidR="00371747">
              <w:rPr>
                <w:rFonts w:ascii="Montserrat" w:hAnsi="Montserrat"/>
                <w:sz w:val="22"/>
                <w:szCs w:val="22"/>
              </w:rPr>
              <w:t xml:space="preserve"> (100%)</w:t>
            </w:r>
          </w:p>
        </w:tc>
        <w:tc>
          <w:tcPr>
            <w:tcW w:w="2268" w:type="dxa"/>
            <w:tcBorders>
              <w:right w:val="double" w:sz="4" w:space="0" w:color="auto"/>
            </w:tcBorders>
          </w:tcPr>
          <w:p w14:paraId="079621B8" w14:textId="77777777" w:rsidR="005F58F1" w:rsidRPr="00301373" w:rsidRDefault="005F58F1" w:rsidP="005255BE">
            <w:pPr>
              <w:spacing w:line="276" w:lineRule="auto"/>
              <w:jc w:val="center"/>
              <w:rPr>
                <w:rFonts w:ascii="Montserrat" w:hAnsi="Montserrat"/>
                <w:sz w:val="22"/>
                <w:szCs w:val="22"/>
              </w:rPr>
            </w:pPr>
            <w:r w:rsidRPr="00301373">
              <w:rPr>
                <w:rFonts w:ascii="Montserrat" w:hAnsi="Montserrat"/>
                <w:sz w:val="22"/>
                <w:szCs w:val="22"/>
              </w:rPr>
              <w:t>0</w:t>
            </w:r>
          </w:p>
        </w:tc>
        <w:tc>
          <w:tcPr>
            <w:tcW w:w="2127" w:type="dxa"/>
            <w:tcBorders>
              <w:right w:val="double" w:sz="4" w:space="0" w:color="auto"/>
            </w:tcBorders>
          </w:tcPr>
          <w:p w14:paraId="6DE64440" w14:textId="08D095DD" w:rsidR="005F58F1" w:rsidRPr="005F58F1" w:rsidRDefault="005F58F1" w:rsidP="005255BE">
            <w:pPr>
              <w:spacing w:line="276" w:lineRule="auto"/>
              <w:jc w:val="center"/>
              <w:rPr>
                <w:rFonts w:ascii="Montserrat" w:hAnsi="Montserrat"/>
                <w:b/>
                <w:bCs/>
                <w:sz w:val="22"/>
                <w:szCs w:val="22"/>
              </w:rPr>
            </w:pPr>
            <w:r w:rsidRPr="005F58F1">
              <w:rPr>
                <w:rFonts w:ascii="Montserrat" w:hAnsi="Montserrat"/>
                <w:b/>
                <w:bCs/>
                <w:sz w:val="22"/>
                <w:szCs w:val="22"/>
              </w:rPr>
              <w:t>12</w:t>
            </w:r>
          </w:p>
        </w:tc>
      </w:tr>
      <w:tr w:rsidR="005F58F1" w:rsidRPr="00301373" w14:paraId="49CDD8F0" w14:textId="35D53B7E" w:rsidTr="00371747">
        <w:tc>
          <w:tcPr>
            <w:tcW w:w="2466" w:type="dxa"/>
            <w:tcBorders>
              <w:right w:val="double" w:sz="4" w:space="0" w:color="auto"/>
            </w:tcBorders>
          </w:tcPr>
          <w:p w14:paraId="33EC126F"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Recursos Humanos (PRH)</w:t>
            </w:r>
          </w:p>
        </w:tc>
        <w:tc>
          <w:tcPr>
            <w:tcW w:w="2070" w:type="dxa"/>
            <w:tcBorders>
              <w:left w:val="double" w:sz="4" w:space="0" w:color="auto"/>
            </w:tcBorders>
            <w:shd w:val="clear" w:color="auto" w:fill="auto"/>
          </w:tcPr>
          <w:p w14:paraId="028BF4A2" w14:textId="16B22B0D" w:rsidR="005F58F1" w:rsidRPr="00AB26CC" w:rsidRDefault="005F58F1" w:rsidP="005255BE">
            <w:pPr>
              <w:spacing w:line="276" w:lineRule="auto"/>
              <w:jc w:val="center"/>
              <w:rPr>
                <w:rFonts w:ascii="Montserrat" w:hAnsi="Montserrat"/>
                <w:sz w:val="22"/>
                <w:szCs w:val="22"/>
              </w:rPr>
            </w:pPr>
            <w:r w:rsidRPr="00AB26CC">
              <w:rPr>
                <w:rFonts w:ascii="Montserrat" w:hAnsi="Montserrat"/>
                <w:sz w:val="22"/>
                <w:szCs w:val="22"/>
              </w:rPr>
              <w:t>8</w:t>
            </w:r>
            <w:r w:rsidR="00371747">
              <w:rPr>
                <w:rFonts w:ascii="Montserrat" w:hAnsi="Montserrat"/>
                <w:sz w:val="22"/>
                <w:szCs w:val="22"/>
              </w:rPr>
              <w:t xml:space="preserve"> (80%)</w:t>
            </w:r>
          </w:p>
        </w:tc>
        <w:tc>
          <w:tcPr>
            <w:tcW w:w="2268" w:type="dxa"/>
            <w:tcBorders>
              <w:right w:val="double" w:sz="4" w:space="0" w:color="auto"/>
            </w:tcBorders>
          </w:tcPr>
          <w:p w14:paraId="4E34A931" w14:textId="77777777" w:rsidR="005F58F1" w:rsidRPr="00301373" w:rsidRDefault="005F58F1" w:rsidP="005255BE">
            <w:pPr>
              <w:spacing w:line="276" w:lineRule="auto"/>
              <w:jc w:val="center"/>
              <w:rPr>
                <w:rFonts w:ascii="Montserrat" w:hAnsi="Montserrat"/>
                <w:sz w:val="22"/>
                <w:szCs w:val="22"/>
              </w:rPr>
            </w:pPr>
            <w:r w:rsidRPr="00301373">
              <w:rPr>
                <w:rFonts w:ascii="Montserrat" w:hAnsi="Montserrat"/>
                <w:sz w:val="22"/>
                <w:szCs w:val="22"/>
              </w:rPr>
              <w:t>2</w:t>
            </w:r>
          </w:p>
        </w:tc>
        <w:tc>
          <w:tcPr>
            <w:tcW w:w="2127" w:type="dxa"/>
            <w:tcBorders>
              <w:right w:val="double" w:sz="4" w:space="0" w:color="auto"/>
            </w:tcBorders>
          </w:tcPr>
          <w:p w14:paraId="50582E82" w14:textId="5A9B4B88" w:rsidR="005F58F1" w:rsidRPr="005F58F1" w:rsidRDefault="005F58F1" w:rsidP="005255BE">
            <w:pPr>
              <w:spacing w:line="276" w:lineRule="auto"/>
              <w:jc w:val="center"/>
              <w:rPr>
                <w:rFonts w:ascii="Montserrat" w:hAnsi="Montserrat"/>
                <w:b/>
                <w:bCs/>
                <w:sz w:val="22"/>
                <w:szCs w:val="22"/>
              </w:rPr>
            </w:pPr>
            <w:r w:rsidRPr="005F58F1">
              <w:rPr>
                <w:rFonts w:ascii="Montserrat" w:hAnsi="Montserrat"/>
                <w:b/>
                <w:bCs/>
                <w:sz w:val="22"/>
                <w:szCs w:val="22"/>
              </w:rPr>
              <w:t>10</w:t>
            </w:r>
          </w:p>
        </w:tc>
      </w:tr>
      <w:tr w:rsidR="005F58F1" w:rsidRPr="00301373" w14:paraId="3657143E" w14:textId="61FD13FB" w:rsidTr="00371747">
        <w:tc>
          <w:tcPr>
            <w:tcW w:w="2466" w:type="dxa"/>
            <w:tcBorders>
              <w:bottom w:val="double" w:sz="4" w:space="0" w:color="auto"/>
              <w:right w:val="double" w:sz="4" w:space="0" w:color="auto"/>
            </w:tcBorders>
          </w:tcPr>
          <w:p w14:paraId="79085636" w14:textId="77777777" w:rsidR="005F58F1" w:rsidRPr="00301373" w:rsidRDefault="005F58F1" w:rsidP="005255BE">
            <w:pPr>
              <w:spacing w:line="276" w:lineRule="auto"/>
              <w:jc w:val="both"/>
              <w:rPr>
                <w:rFonts w:ascii="Montserrat" w:hAnsi="Montserrat"/>
                <w:sz w:val="22"/>
                <w:szCs w:val="22"/>
              </w:rPr>
            </w:pPr>
            <w:r w:rsidRPr="00301373">
              <w:rPr>
                <w:rFonts w:ascii="Montserrat" w:hAnsi="Montserrat"/>
                <w:sz w:val="22"/>
                <w:szCs w:val="22"/>
              </w:rPr>
              <w:t>Uso de Bienes (UB)</w:t>
            </w:r>
          </w:p>
        </w:tc>
        <w:tc>
          <w:tcPr>
            <w:tcW w:w="2070" w:type="dxa"/>
            <w:tcBorders>
              <w:left w:val="double" w:sz="4" w:space="0" w:color="auto"/>
              <w:bottom w:val="double" w:sz="4" w:space="0" w:color="auto"/>
            </w:tcBorders>
            <w:shd w:val="clear" w:color="auto" w:fill="auto"/>
          </w:tcPr>
          <w:p w14:paraId="4FE04C74" w14:textId="5A5DC125" w:rsidR="005F58F1" w:rsidRPr="00AB26CC" w:rsidRDefault="005F58F1" w:rsidP="005255BE">
            <w:pPr>
              <w:spacing w:line="276" w:lineRule="auto"/>
              <w:jc w:val="center"/>
              <w:rPr>
                <w:rFonts w:ascii="Montserrat" w:hAnsi="Montserrat"/>
                <w:sz w:val="22"/>
                <w:szCs w:val="22"/>
              </w:rPr>
            </w:pPr>
            <w:r w:rsidRPr="00AB26CC">
              <w:rPr>
                <w:rFonts w:ascii="Montserrat" w:hAnsi="Montserrat"/>
                <w:sz w:val="22"/>
                <w:szCs w:val="22"/>
              </w:rPr>
              <w:t>7</w:t>
            </w:r>
            <w:r w:rsidR="00371747">
              <w:rPr>
                <w:rFonts w:ascii="Montserrat" w:hAnsi="Montserrat"/>
                <w:sz w:val="22"/>
                <w:szCs w:val="22"/>
              </w:rPr>
              <w:t xml:space="preserve"> (100%) </w:t>
            </w:r>
          </w:p>
        </w:tc>
        <w:tc>
          <w:tcPr>
            <w:tcW w:w="2268" w:type="dxa"/>
            <w:tcBorders>
              <w:bottom w:val="double" w:sz="4" w:space="0" w:color="auto"/>
              <w:right w:val="double" w:sz="4" w:space="0" w:color="auto"/>
            </w:tcBorders>
          </w:tcPr>
          <w:p w14:paraId="6AE1DB46" w14:textId="77777777" w:rsidR="005F58F1" w:rsidRPr="00301373" w:rsidRDefault="005F58F1" w:rsidP="005255BE">
            <w:pPr>
              <w:spacing w:line="276" w:lineRule="auto"/>
              <w:jc w:val="center"/>
              <w:rPr>
                <w:rFonts w:ascii="Montserrat" w:hAnsi="Montserrat"/>
                <w:sz w:val="22"/>
                <w:szCs w:val="22"/>
              </w:rPr>
            </w:pPr>
            <w:r w:rsidRPr="00301373">
              <w:rPr>
                <w:rFonts w:ascii="Montserrat" w:hAnsi="Montserrat"/>
                <w:sz w:val="22"/>
                <w:szCs w:val="22"/>
              </w:rPr>
              <w:t>0</w:t>
            </w:r>
          </w:p>
        </w:tc>
        <w:tc>
          <w:tcPr>
            <w:tcW w:w="2127" w:type="dxa"/>
            <w:tcBorders>
              <w:bottom w:val="double" w:sz="4" w:space="0" w:color="auto"/>
              <w:right w:val="double" w:sz="4" w:space="0" w:color="auto"/>
            </w:tcBorders>
          </w:tcPr>
          <w:p w14:paraId="44F46D75" w14:textId="12AD7E72" w:rsidR="005F58F1" w:rsidRPr="005F58F1" w:rsidRDefault="005F58F1" w:rsidP="005255BE">
            <w:pPr>
              <w:spacing w:line="276" w:lineRule="auto"/>
              <w:jc w:val="center"/>
              <w:rPr>
                <w:rFonts w:ascii="Montserrat" w:hAnsi="Montserrat"/>
                <w:b/>
                <w:bCs/>
                <w:sz w:val="22"/>
                <w:szCs w:val="22"/>
              </w:rPr>
            </w:pPr>
            <w:r w:rsidRPr="005F58F1">
              <w:rPr>
                <w:rFonts w:ascii="Montserrat" w:hAnsi="Montserrat"/>
                <w:b/>
                <w:bCs/>
                <w:sz w:val="22"/>
                <w:szCs w:val="22"/>
              </w:rPr>
              <w:t>7</w:t>
            </w:r>
          </w:p>
        </w:tc>
      </w:tr>
      <w:tr w:rsidR="005F58F1" w:rsidRPr="00301373" w14:paraId="7E2BA5C9" w14:textId="70180335" w:rsidTr="00371747">
        <w:trPr>
          <w:trHeight w:val="542"/>
        </w:trPr>
        <w:tc>
          <w:tcPr>
            <w:tcW w:w="2466" w:type="dxa"/>
            <w:tcBorders>
              <w:top w:val="double" w:sz="4" w:space="0" w:color="auto"/>
              <w:right w:val="double" w:sz="4" w:space="0" w:color="auto"/>
            </w:tcBorders>
          </w:tcPr>
          <w:p w14:paraId="45B05794" w14:textId="77777777" w:rsidR="005F58F1" w:rsidRPr="00301373" w:rsidRDefault="005F58F1" w:rsidP="005255BE">
            <w:pPr>
              <w:spacing w:line="276" w:lineRule="auto"/>
              <w:jc w:val="both"/>
              <w:rPr>
                <w:rFonts w:ascii="Montserrat" w:hAnsi="Montserrat"/>
                <w:b/>
                <w:bCs/>
                <w:sz w:val="22"/>
                <w:szCs w:val="22"/>
              </w:rPr>
            </w:pPr>
            <w:r w:rsidRPr="00301373">
              <w:rPr>
                <w:rFonts w:ascii="Montserrat" w:hAnsi="Montserrat"/>
                <w:b/>
                <w:bCs/>
                <w:sz w:val="22"/>
                <w:szCs w:val="22"/>
              </w:rPr>
              <w:t>Total</w:t>
            </w:r>
          </w:p>
        </w:tc>
        <w:tc>
          <w:tcPr>
            <w:tcW w:w="2070" w:type="dxa"/>
            <w:tcBorders>
              <w:top w:val="double" w:sz="4" w:space="0" w:color="auto"/>
              <w:left w:val="double" w:sz="4" w:space="0" w:color="auto"/>
            </w:tcBorders>
            <w:shd w:val="clear" w:color="auto" w:fill="auto"/>
          </w:tcPr>
          <w:p w14:paraId="7B297F62" w14:textId="7648A466" w:rsidR="005F58F1" w:rsidRPr="00AB26CC" w:rsidRDefault="00AB26CC" w:rsidP="005255BE">
            <w:pPr>
              <w:spacing w:line="276" w:lineRule="auto"/>
              <w:jc w:val="center"/>
              <w:rPr>
                <w:rFonts w:ascii="Montserrat" w:hAnsi="Montserrat"/>
                <w:b/>
                <w:bCs/>
                <w:sz w:val="22"/>
                <w:szCs w:val="22"/>
              </w:rPr>
            </w:pPr>
            <w:r>
              <w:rPr>
                <w:rFonts w:ascii="Montserrat" w:hAnsi="Montserrat"/>
                <w:b/>
                <w:bCs/>
                <w:sz w:val="22"/>
                <w:szCs w:val="22"/>
              </w:rPr>
              <w:t>38 (80.9%)</w:t>
            </w:r>
          </w:p>
        </w:tc>
        <w:tc>
          <w:tcPr>
            <w:tcW w:w="2268" w:type="dxa"/>
            <w:tcBorders>
              <w:top w:val="double" w:sz="4" w:space="0" w:color="auto"/>
              <w:right w:val="double" w:sz="4" w:space="0" w:color="auto"/>
            </w:tcBorders>
          </w:tcPr>
          <w:p w14:paraId="24BA7AF8" w14:textId="779E83AA" w:rsidR="005F58F1" w:rsidRPr="00301373" w:rsidRDefault="00AB26CC" w:rsidP="00AB26CC">
            <w:pPr>
              <w:spacing w:line="276" w:lineRule="auto"/>
              <w:jc w:val="center"/>
              <w:rPr>
                <w:rFonts w:ascii="Montserrat" w:hAnsi="Montserrat"/>
                <w:b/>
                <w:bCs/>
                <w:sz w:val="22"/>
                <w:szCs w:val="22"/>
              </w:rPr>
            </w:pPr>
            <w:r>
              <w:rPr>
                <w:rFonts w:ascii="Montserrat" w:hAnsi="Montserrat"/>
                <w:b/>
                <w:bCs/>
                <w:sz w:val="22"/>
                <w:szCs w:val="22"/>
              </w:rPr>
              <w:t>9 (19.1%)</w:t>
            </w:r>
          </w:p>
        </w:tc>
        <w:tc>
          <w:tcPr>
            <w:tcW w:w="2127" w:type="dxa"/>
            <w:tcBorders>
              <w:top w:val="double" w:sz="4" w:space="0" w:color="auto"/>
              <w:right w:val="double" w:sz="4" w:space="0" w:color="auto"/>
            </w:tcBorders>
          </w:tcPr>
          <w:p w14:paraId="6440030F" w14:textId="06D14B1D" w:rsidR="005F58F1" w:rsidRPr="00301373" w:rsidRDefault="00AB26CC" w:rsidP="005255BE">
            <w:pPr>
              <w:spacing w:line="276" w:lineRule="auto"/>
              <w:jc w:val="center"/>
              <w:rPr>
                <w:rFonts w:ascii="Montserrat" w:hAnsi="Montserrat"/>
                <w:b/>
                <w:bCs/>
                <w:sz w:val="22"/>
                <w:szCs w:val="22"/>
              </w:rPr>
            </w:pPr>
            <w:r>
              <w:rPr>
                <w:rFonts w:ascii="Montserrat" w:hAnsi="Montserrat"/>
                <w:b/>
                <w:bCs/>
                <w:sz w:val="22"/>
                <w:szCs w:val="22"/>
              </w:rPr>
              <w:t>47</w:t>
            </w:r>
            <w:r w:rsidR="00371747">
              <w:rPr>
                <w:rFonts w:ascii="Montserrat" w:hAnsi="Montserrat"/>
                <w:b/>
                <w:bCs/>
                <w:sz w:val="22"/>
                <w:szCs w:val="22"/>
              </w:rPr>
              <w:t xml:space="preserve"> </w:t>
            </w:r>
          </w:p>
        </w:tc>
      </w:tr>
    </w:tbl>
    <w:p w14:paraId="6B840EA5" w14:textId="37A9B75F" w:rsidR="00301373" w:rsidRDefault="00301373" w:rsidP="005255BE">
      <w:pPr>
        <w:spacing w:after="160" w:line="276" w:lineRule="auto"/>
        <w:jc w:val="both"/>
        <w:rPr>
          <w:rFonts w:ascii="Montserrat" w:eastAsia="Calibri" w:hAnsi="Montserrat" w:cs="Times New Roman"/>
          <w:sz w:val="22"/>
          <w:szCs w:val="22"/>
        </w:rPr>
      </w:pPr>
    </w:p>
    <w:p w14:paraId="1FFB3676" w14:textId="6553EF96" w:rsidR="00371747" w:rsidRDefault="00371747" w:rsidP="00371747">
      <w:pPr>
        <w:spacing w:after="160" w:line="276" w:lineRule="auto"/>
        <w:jc w:val="both"/>
        <w:rPr>
          <w:rFonts w:ascii="Montserrat" w:eastAsia="Calibri" w:hAnsi="Montserrat" w:cs="Times New Roman"/>
          <w:sz w:val="22"/>
          <w:szCs w:val="22"/>
        </w:rPr>
      </w:pPr>
      <w:r>
        <w:rPr>
          <w:rFonts w:ascii="Montserrat" w:eastAsia="Calibri" w:hAnsi="Montserrat" w:cs="Times New Roman"/>
          <w:sz w:val="22"/>
          <w:szCs w:val="22"/>
        </w:rPr>
        <w:lastRenderedPageBreak/>
        <w:t xml:space="preserve">En el primer trimestre 2021, sobre los 47 compromisos aplicables distribuidos en los cinco programas, 38 registran avances, lo que corresponde a 80.9% del total, como lo muestra la Tabla 1.  </w:t>
      </w:r>
    </w:p>
    <w:p w14:paraId="472C0D10" w14:textId="2BE52BCF" w:rsidR="00301373" w:rsidRPr="00631326" w:rsidRDefault="00371747" w:rsidP="005255BE">
      <w:pPr>
        <w:spacing w:after="160" w:line="276" w:lineRule="auto"/>
        <w:jc w:val="both"/>
        <w:rPr>
          <w:rFonts w:ascii="Montserrat" w:eastAsia="Calibri" w:hAnsi="Montserrat" w:cs="Times New Roman"/>
          <w:color w:val="000000" w:themeColor="text1"/>
          <w:sz w:val="22"/>
          <w:szCs w:val="22"/>
        </w:rPr>
      </w:pPr>
      <w:r>
        <w:rPr>
          <w:rFonts w:ascii="Montserrat" w:eastAsia="Calibri" w:hAnsi="Montserrat" w:cs="Times New Roman"/>
          <w:sz w:val="22"/>
          <w:szCs w:val="22"/>
        </w:rPr>
        <w:t>E</w:t>
      </w:r>
      <w:r w:rsidR="00AB26CC">
        <w:rPr>
          <w:rFonts w:ascii="Montserrat" w:eastAsia="Calibri" w:hAnsi="Montserrat" w:cs="Times New Roman"/>
          <w:color w:val="000000" w:themeColor="text1"/>
          <w:sz w:val="22"/>
          <w:szCs w:val="22"/>
        </w:rPr>
        <w:t>n cuanto a los indicadores, sobre los 7 aplicables en este trimestre, solo 2 registran resultados</w:t>
      </w:r>
      <w:r>
        <w:rPr>
          <w:rFonts w:ascii="Montserrat" w:eastAsia="Calibri" w:hAnsi="Montserrat" w:cs="Times New Roman"/>
          <w:color w:val="000000" w:themeColor="text1"/>
          <w:sz w:val="22"/>
          <w:szCs w:val="22"/>
        </w:rPr>
        <w:t xml:space="preserve"> (Véase anexo indicadores)</w:t>
      </w:r>
      <w:r w:rsidR="00AB26CC">
        <w:rPr>
          <w:rFonts w:ascii="Montserrat" w:eastAsia="Calibri" w:hAnsi="Montserrat" w:cs="Times New Roman"/>
          <w:color w:val="000000" w:themeColor="text1"/>
          <w:sz w:val="22"/>
          <w:szCs w:val="22"/>
        </w:rPr>
        <w:t>.</w:t>
      </w:r>
      <w:r w:rsidR="00E92FC0">
        <w:rPr>
          <w:rFonts w:ascii="Montserrat" w:eastAsia="Calibri" w:hAnsi="Montserrat" w:cs="Times New Roman"/>
          <w:color w:val="000000" w:themeColor="text1"/>
          <w:sz w:val="22"/>
          <w:szCs w:val="22"/>
        </w:rPr>
        <w:t xml:space="preserve"> Los demás están vinculados a compromisos que no aplican en este trimestre o no han tenido acciones.</w:t>
      </w:r>
      <w:r w:rsidR="00AB26CC">
        <w:rPr>
          <w:rFonts w:ascii="Montserrat" w:eastAsia="Calibri" w:hAnsi="Montserrat" w:cs="Times New Roman"/>
          <w:color w:val="000000" w:themeColor="text1"/>
          <w:sz w:val="22"/>
          <w:szCs w:val="22"/>
        </w:rPr>
        <w:t xml:space="preserve"> </w:t>
      </w:r>
    </w:p>
    <w:p w14:paraId="1CC66A65" w14:textId="77777777" w:rsidR="00301373" w:rsidRPr="00301373" w:rsidRDefault="00301373" w:rsidP="005255BE">
      <w:pPr>
        <w:spacing w:after="160" w:line="276" w:lineRule="auto"/>
        <w:jc w:val="both"/>
        <w:rPr>
          <w:rFonts w:ascii="Montserrat" w:eastAsia="Calibri" w:hAnsi="Montserrat" w:cs="Times New Roman"/>
          <w:sz w:val="22"/>
          <w:szCs w:val="22"/>
        </w:rPr>
      </w:pPr>
      <w:r w:rsidRPr="00301373">
        <w:rPr>
          <w:rFonts w:ascii="Montserrat" w:eastAsia="Calibri" w:hAnsi="Montserrat" w:cs="Times New Roman"/>
          <w:sz w:val="22"/>
          <w:szCs w:val="22"/>
        </w:rPr>
        <w:t xml:space="preserve">A continuación, se proporciona información sobre los compromisos sin acciones realizadas. </w:t>
      </w:r>
    </w:p>
    <w:p w14:paraId="02EC5732" w14:textId="69865C58" w:rsidR="00301373" w:rsidRPr="00301373" w:rsidRDefault="00301373" w:rsidP="005255BE">
      <w:pPr>
        <w:spacing w:line="276" w:lineRule="auto"/>
        <w:jc w:val="both"/>
        <w:rPr>
          <w:rFonts w:ascii="Montserrat" w:eastAsia="Calibri" w:hAnsi="Montserrat" w:cs="Times New Roman"/>
          <w:sz w:val="22"/>
          <w:szCs w:val="22"/>
        </w:rPr>
      </w:pPr>
      <w:r w:rsidRPr="00301373">
        <w:rPr>
          <w:rFonts w:ascii="Montserrat" w:eastAsia="Calibri" w:hAnsi="Montserrat" w:cs="Times New Roman"/>
          <w:sz w:val="22"/>
          <w:szCs w:val="22"/>
        </w:rPr>
        <w:t>Tabla</w:t>
      </w:r>
      <w:r w:rsidR="002F2039">
        <w:rPr>
          <w:rFonts w:ascii="Montserrat" w:eastAsia="Calibri" w:hAnsi="Montserrat" w:cs="Times New Roman"/>
          <w:sz w:val="22"/>
          <w:szCs w:val="22"/>
        </w:rPr>
        <w:t xml:space="preserve"> 2</w:t>
      </w:r>
      <w:r w:rsidRPr="00301373">
        <w:rPr>
          <w:rFonts w:ascii="Montserrat" w:eastAsia="Calibri" w:hAnsi="Montserrat" w:cs="Times New Roman"/>
          <w:sz w:val="22"/>
          <w:szCs w:val="22"/>
        </w:rPr>
        <w:t>. Justificación de los compromisos sin avances</w:t>
      </w:r>
      <w:r w:rsidR="00631326">
        <w:rPr>
          <w:rFonts w:ascii="Montserrat" w:eastAsia="Calibri" w:hAnsi="Montserrat" w:cs="Times New Roman"/>
          <w:sz w:val="22"/>
          <w:szCs w:val="22"/>
        </w:rPr>
        <w:t>- Primer trimestre 2021</w:t>
      </w:r>
    </w:p>
    <w:tbl>
      <w:tblPr>
        <w:tblStyle w:val="Tablaconcuadrcula"/>
        <w:tblW w:w="8789" w:type="dxa"/>
        <w:tblInd w:w="-5" w:type="dxa"/>
        <w:tblLook w:val="04A0" w:firstRow="1" w:lastRow="0" w:firstColumn="1" w:lastColumn="0" w:noHBand="0" w:noVBand="1"/>
      </w:tblPr>
      <w:tblGrid>
        <w:gridCol w:w="984"/>
        <w:gridCol w:w="3836"/>
        <w:gridCol w:w="3969"/>
      </w:tblGrid>
      <w:tr w:rsidR="00301373" w:rsidRPr="00B92673" w14:paraId="6AE91F4D" w14:textId="77777777" w:rsidTr="00B92673">
        <w:tc>
          <w:tcPr>
            <w:tcW w:w="984" w:type="dxa"/>
          </w:tcPr>
          <w:p w14:paraId="3FD9DCF9" w14:textId="77777777" w:rsidR="00301373" w:rsidRPr="00B92673" w:rsidRDefault="00301373" w:rsidP="00B92673">
            <w:pPr>
              <w:jc w:val="both"/>
              <w:rPr>
                <w:rFonts w:ascii="Montserrat" w:hAnsi="Montserrat"/>
              </w:rPr>
            </w:pPr>
          </w:p>
        </w:tc>
        <w:tc>
          <w:tcPr>
            <w:tcW w:w="3836" w:type="dxa"/>
          </w:tcPr>
          <w:p w14:paraId="23FF2510" w14:textId="77777777" w:rsidR="00301373" w:rsidRPr="00B92673" w:rsidRDefault="00301373" w:rsidP="00B92673">
            <w:pPr>
              <w:jc w:val="center"/>
              <w:rPr>
                <w:rFonts w:ascii="Montserrat" w:hAnsi="Montserrat"/>
                <w:b/>
                <w:bCs/>
              </w:rPr>
            </w:pPr>
            <w:r w:rsidRPr="00B92673">
              <w:rPr>
                <w:rFonts w:ascii="Montserrat" w:hAnsi="Montserrat"/>
                <w:b/>
                <w:bCs/>
              </w:rPr>
              <w:t xml:space="preserve">Compromisos sin avances </w:t>
            </w:r>
          </w:p>
        </w:tc>
        <w:tc>
          <w:tcPr>
            <w:tcW w:w="3969" w:type="dxa"/>
          </w:tcPr>
          <w:p w14:paraId="0E3D90CF" w14:textId="77777777" w:rsidR="00301373" w:rsidRPr="00B92673" w:rsidRDefault="00301373" w:rsidP="00B92673">
            <w:pPr>
              <w:jc w:val="center"/>
              <w:rPr>
                <w:rFonts w:ascii="Montserrat" w:hAnsi="Montserrat"/>
                <w:b/>
                <w:bCs/>
              </w:rPr>
            </w:pPr>
            <w:r w:rsidRPr="00B92673">
              <w:rPr>
                <w:rFonts w:ascii="Montserrat" w:hAnsi="Montserrat"/>
                <w:b/>
                <w:bCs/>
              </w:rPr>
              <w:t>Justificación</w:t>
            </w:r>
          </w:p>
        </w:tc>
      </w:tr>
      <w:tr w:rsidR="00301373" w:rsidRPr="00B92673" w14:paraId="20F01060" w14:textId="77777777" w:rsidTr="00B92673">
        <w:tc>
          <w:tcPr>
            <w:tcW w:w="984" w:type="dxa"/>
            <w:shd w:val="clear" w:color="auto" w:fill="auto"/>
          </w:tcPr>
          <w:p w14:paraId="0C62BF77" w14:textId="77777777" w:rsidR="00301373" w:rsidRPr="00B92673" w:rsidRDefault="00301373" w:rsidP="00B92673">
            <w:pPr>
              <w:jc w:val="both"/>
              <w:rPr>
                <w:rFonts w:ascii="Montserrat" w:hAnsi="Montserrat"/>
              </w:rPr>
            </w:pPr>
            <w:r w:rsidRPr="00B92673">
              <w:rPr>
                <w:rFonts w:ascii="Montserrat" w:hAnsi="Montserrat"/>
              </w:rPr>
              <w:t>CC.5</w:t>
            </w:r>
          </w:p>
        </w:tc>
        <w:tc>
          <w:tcPr>
            <w:tcW w:w="3836" w:type="dxa"/>
            <w:shd w:val="clear" w:color="auto" w:fill="auto"/>
          </w:tcPr>
          <w:p w14:paraId="435800B0" w14:textId="77777777" w:rsidR="00301373" w:rsidRPr="00B92673" w:rsidRDefault="00301373" w:rsidP="00B92673">
            <w:pPr>
              <w:rPr>
                <w:rFonts w:ascii="Montserrat" w:hAnsi="Montserrat"/>
              </w:rPr>
            </w:pPr>
            <w:r w:rsidRPr="00B92673">
              <w:rPr>
                <w:rFonts w:ascii="Montserrat" w:hAnsi="Montserrat"/>
              </w:rPr>
              <w:t>Registrar en la Bitácora Electrónica de Seguimiento de Adquisiciones, cada una de las etapas de la ejecución de los contratos de compras con recursos federales, desde su formalización hasta la recepción y pago de los bienes y servicios, para eficientar su seguimiento.</w:t>
            </w:r>
          </w:p>
        </w:tc>
        <w:tc>
          <w:tcPr>
            <w:tcW w:w="3969" w:type="dxa"/>
            <w:shd w:val="clear" w:color="auto" w:fill="auto"/>
          </w:tcPr>
          <w:p w14:paraId="221F2C37" w14:textId="4A8F557C" w:rsidR="00301373" w:rsidRPr="00B92673" w:rsidRDefault="00301373" w:rsidP="00B92673">
            <w:pPr>
              <w:rPr>
                <w:rFonts w:ascii="Montserrat" w:hAnsi="Montserrat"/>
              </w:rPr>
            </w:pPr>
            <w:r w:rsidRPr="00B92673">
              <w:rPr>
                <w:rFonts w:ascii="Montserrat" w:hAnsi="Montserrat"/>
              </w:rPr>
              <w:t xml:space="preserve">La SFP </w:t>
            </w:r>
            <w:r w:rsidR="00B92673" w:rsidRPr="00B92673">
              <w:rPr>
                <w:rFonts w:ascii="Montserrat" w:hAnsi="Montserrat"/>
              </w:rPr>
              <w:t xml:space="preserve">instruyó </w:t>
            </w:r>
            <w:r w:rsidRPr="00B92673">
              <w:rPr>
                <w:rFonts w:ascii="Montserrat" w:hAnsi="Montserrat"/>
              </w:rPr>
              <w:t xml:space="preserve">no reportar esta acción hasta que se notifique la liberación del sistema para el registro en la Bitácora Electrónica de Seguimiento de Adquisiciones. </w:t>
            </w:r>
            <w:r w:rsidR="00B92673" w:rsidRPr="00B92673">
              <w:rPr>
                <w:rFonts w:ascii="Montserrat" w:hAnsi="Montserrat"/>
              </w:rPr>
              <w:t>En este primer trimestre 2021,</w:t>
            </w:r>
            <w:r w:rsidRPr="00B92673">
              <w:rPr>
                <w:rFonts w:ascii="Montserrat" w:hAnsi="Montserrat"/>
              </w:rPr>
              <w:t xml:space="preserve"> no había notificación de liberación de esta bitácora.</w:t>
            </w:r>
          </w:p>
        </w:tc>
      </w:tr>
      <w:tr w:rsidR="00301373" w:rsidRPr="00B92673" w14:paraId="7EA7482A" w14:textId="77777777" w:rsidTr="00B92673">
        <w:tc>
          <w:tcPr>
            <w:tcW w:w="984" w:type="dxa"/>
            <w:shd w:val="clear" w:color="auto" w:fill="auto"/>
          </w:tcPr>
          <w:p w14:paraId="34B0F6E9" w14:textId="77777777" w:rsidR="00301373" w:rsidRPr="00B92673" w:rsidRDefault="00301373" w:rsidP="00B92673">
            <w:pPr>
              <w:jc w:val="both"/>
              <w:rPr>
                <w:rFonts w:ascii="Montserrat" w:hAnsi="Montserrat"/>
              </w:rPr>
            </w:pPr>
            <w:r w:rsidRPr="00B92673">
              <w:rPr>
                <w:rFonts w:ascii="Montserrat" w:hAnsi="Montserrat"/>
              </w:rPr>
              <w:t>CC.8</w:t>
            </w:r>
          </w:p>
        </w:tc>
        <w:tc>
          <w:tcPr>
            <w:tcW w:w="3836" w:type="dxa"/>
            <w:shd w:val="clear" w:color="auto" w:fill="auto"/>
          </w:tcPr>
          <w:p w14:paraId="03FD1FCA" w14:textId="77777777" w:rsidR="00301373" w:rsidRPr="00B92673" w:rsidRDefault="00301373" w:rsidP="00B92673">
            <w:pPr>
              <w:rPr>
                <w:rFonts w:ascii="Montserrat" w:hAnsi="Montserrat"/>
              </w:rPr>
            </w:pPr>
            <w:r w:rsidRPr="00B92673">
              <w:rPr>
                <w:rFonts w:ascii="Montserrat" w:hAnsi="Montserrat"/>
              </w:rPr>
              <w:t>Impulsar la implementación y el seguimiento de los compromisos derivados de Planes de Acción de la Alianza para el Gobierno Abierto que contribuyan al bienestar del pueblo de México.</w:t>
            </w:r>
          </w:p>
        </w:tc>
        <w:tc>
          <w:tcPr>
            <w:tcW w:w="3969" w:type="dxa"/>
            <w:shd w:val="clear" w:color="auto" w:fill="auto"/>
          </w:tcPr>
          <w:p w14:paraId="20B94560" w14:textId="4E26E594" w:rsidR="00301373" w:rsidRPr="00B92673" w:rsidRDefault="00301373" w:rsidP="00B92673">
            <w:pPr>
              <w:jc w:val="both"/>
              <w:rPr>
                <w:rFonts w:ascii="Montserrat" w:hAnsi="Montserrat"/>
              </w:rPr>
            </w:pPr>
            <w:r w:rsidRPr="00B92673">
              <w:rPr>
                <w:rFonts w:ascii="Montserrat" w:hAnsi="Montserrat"/>
              </w:rPr>
              <w:t xml:space="preserve">La Dirección de Gobierno Abierto de la SFP </w:t>
            </w:r>
            <w:r w:rsidR="00B92673" w:rsidRPr="00B92673">
              <w:rPr>
                <w:rFonts w:ascii="Montserrat" w:hAnsi="Montserrat"/>
              </w:rPr>
              <w:t>instruyó</w:t>
            </w:r>
            <w:r w:rsidRPr="00B92673">
              <w:rPr>
                <w:rFonts w:ascii="Montserrat" w:hAnsi="Montserrat"/>
              </w:rPr>
              <w:t xml:space="preserve"> que las instituciones que no aparecen como responsables reporten esta acción sin avances, en tanto la SFP les notifique la necesidad de participar. </w:t>
            </w:r>
          </w:p>
        </w:tc>
      </w:tr>
      <w:tr w:rsidR="00631326" w:rsidRPr="00B92673" w14:paraId="2D55A1F7" w14:textId="77777777" w:rsidTr="00B92673">
        <w:tc>
          <w:tcPr>
            <w:tcW w:w="984" w:type="dxa"/>
            <w:shd w:val="clear" w:color="auto" w:fill="auto"/>
          </w:tcPr>
          <w:p w14:paraId="50DF5904" w14:textId="15C323D2" w:rsidR="00631326" w:rsidRPr="00B92673" w:rsidRDefault="00631326" w:rsidP="00B92673">
            <w:pPr>
              <w:jc w:val="both"/>
              <w:rPr>
                <w:rFonts w:ascii="Montserrat" w:hAnsi="Montserrat"/>
              </w:rPr>
            </w:pPr>
            <w:r w:rsidRPr="00B92673">
              <w:rPr>
                <w:rFonts w:ascii="Montserrat" w:hAnsi="Montserrat"/>
              </w:rPr>
              <w:t>CI.2</w:t>
            </w:r>
          </w:p>
        </w:tc>
        <w:tc>
          <w:tcPr>
            <w:tcW w:w="3836" w:type="dxa"/>
            <w:shd w:val="clear" w:color="auto" w:fill="auto"/>
          </w:tcPr>
          <w:p w14:paraId="2366C778" w14:textId="68493794" w:rsidR="00631326" w:rsidRPr="00B92673" w:rsidRDefault="00B92673" w:rsidP="00B92673">
            <w:pPr>
              <w:rPr>
                <w:rFonts w:ascii="Montserrat" w:hAnsi="Montserrat"/>
              </w:rPr>
            </w:pPr>
            <w:r w:rsidRPr="00B92673">
              <w:rPr>
                <w:rFonts w:ascii="Montserrat" w:hAnsi="Montserrat"/>
              </w:rPr>
              <w:t>Instaurar estrategias de difusión, relacionadas con los objetivos de la verificación patrimonial a efecto de concientizar a las personas servidoras públicas respecto de la importancia de la manifestación de su patrimonio.</w:t>
            </w:r>
          </w:p>
        </w:tc>
        <w:tc>
          <w:tcPr>
            <w:tcW w:w="3969" w:type="dxa"/>
            <w:shd w:val="clear" w:color="auto" w:fill="auto"/>
          </w:tcPr>
          <w:p w14:paraId="38FF1857" w14:textId="5B579A22" w:rsidR="00631326" w:rsidRPr="00B92673" w:rsidRDefault="00B92673" w:rsidP="00B92673">
            <w:pPr>
              <w:jc w:val="both"/>
              <w:rPr>
                <w:rFonts w:ascii="Montserrat" w:hAnsi="Montserrat"/>
              </w:rPr>
            </w:pPr>
            <w:r w:rsidRPr="00B92673">
              <w:rPr>
                <w:rFonts w:ascii="Montserrat" w:hAnsi="Montserrat"/>
              </w:rPr>
              <w:t>Durante este primer trimestre no hubo anuncios sobre este tema. Estos inician en el segundo trimestre.</w:t>
            </w:r>
          </w:p>
        </w:tc>
      </w:tr>
      <w:tr w:rsidR="00631326" w:rsidRPr="00B92673" w14:paraId="3F38EA7F" w14:textId="77777777" w:rsidTr="00B92673">
        <w:tc>
          <w:tcPr>
            <w:tcW w:w="984" w:type="dxa"/>
            <w:shd w:val="clear" w:color="auto" w:fill="auto"/>
          </w:tcPr>
          <w:p w14:paraId="537641DF" w14:textId="7D35CFA5" w:rsidR="00631326" w:rsidRPr="00B92673" w:rsidRDefault="00631326" w:rsidP="00B92673">
            <w:pPr>
              <w:jc w:val="both"/>
              <w:rPr>
                <w:rFonts w:ascii="Montserrat" w:hAnsi="Montserrat"/>
              </w:rPr>
            </w:pPr>
            <w:r w:rsidRPr="00B92673">
              <w:rPr>
                <w:rFonts w:ascii="Montserrat" w:hAnsi="Montserrat"/>
              </w:rPr>
              <w:t>CI.5</w:t>
            </w:r>
          </w:p>
        </w:tc>
        <w:tc>
          <w:tcPr>
            <w:tcW w:w="3836" w:type="dxa"/>
            <w:shd w:val="clear" w:color="auto" w:fill="auto"/>
          </w:tcPr>
          <w:p w14:paraId="7AC9D75C" w14:textId="42866E21" w:rsidR="00631326" w:rsidRPr="00B92673" w:rsidRDefault="00B92673" w:rsidP="00B92673">
            <w:pPr>
              <w:rPr>
                <w:rFonts w:ascii="Montserrat" w:hAnsi="Montserrat"/>
              </w:rPr>
            </w:pPr>
            <w:r w:rsidRPr="00B92673">
              <w:rPr>
                <w:rFonts w:ascii="Montserrat" w:hAnsi="Montserrat"/>
              </w:rPr>
              <w:t>Atender por medio de los Comités de Ética y de Prevención de Conflictos de Intereses las solicitudes de asesoría y consultas sobre el tema de conflicto de intereses.</w:t>
            </w:r>
          </w:p>
        </w:tc>
        <w:tc>
          <w:tcPr>
            <w:tcW w:w="3969" w:type="dxa"/>
            <w:shd w:val="clear" w:color="auto" w:fill="auto"/>
          </w:tcPr>
          <w:p w14:paraId="2C57CBF9" w14:textId="2C7685E1" w:rsidR="00631326" w:rsidRPr="00B92673" w:rsidRDefault="00B92673" w:rsidP="00B92673">
            <w:pPr>
              <w:jc w:val="both"/>
              <w:rPr>
                <w:rFonts w:ascii="Montserrat" w:hAnsi="Montserrat"/>
              </w:rPr>
            </w:pPr>
            <w:r w:rsidRPr="00B92673">
              <w:rPr>
                <w:rFonts w:ascii="Montserrat" w:hAnsi="Montserrat"/>
              </w:rPr>
              <w:t>En este trimestre el Comité de Ética no recibió solicitudes de asesoría.</w:t>
            </w:r>
          </w:p>
        </w:tc>
      </w:tr>
      <w:tr w:rsidR="00631326" w:rsidRPr="00B92673" w14:paraId="2AEE0A3A" w14:textId="77777777" w:rsidTr="00B92673">
        <w:tc>
          <w:tcPr>
            <w:tcW w:w="984" w:type="dxa"/>
            <w:shd w:val="clear" w:color="auto" w:fill="auto"/>
          </w:tcPr>
          <w:p w14:paraId="6774CDC4" w14:textId="3D4E461B" w:rsidR="00631326" w:rsidRPr="00B92673" w:rsidRDefault="00631326" w:rsidP="00B92673">
            <w:pPr>
              <w:jc w:val="both"/>
              <w:rPr>
                <w:rFonts w:ascii="Montserrat" w:hAnsi="Montserrat"/>
              </w:rPr>
            </w:pPr>
            <w:r w:rsidRPr="00B92673">
              <w:rPr>
                <w:rFonts w:ascii="Montserrat" w:hAnsi="Montserrat"/>
              </w:rPr>
              <w:t>CI.6</w:t>
            </w:r>
          </w:p>
        </w:tc>
        <w:tc>
          <w:tcPr>
            <w:tcW w:w="3836" w:type="dxa"/>
            <w:shd w:val="clear" w:color="auto" w:fill="auto"/>
          </w:tcPr>
          <w:p w14:paraId="0706C6CD" w14:textId="6FE5E2E5" w:rsidR="00631326" w:rsidRPr="00B92673" w:rsidRDefault="00B92673" w:rsidP="00B92673">
            <w:pPr>
              <w:rPr>
                <w:rFonts w:ascii="Montserrat" w:hAnsi="Montserrat"/>
              </w:rPr>
            </w:pPr>
            <w:r w:rsidRPr="00B92673">
              <w:rPr>
                <w:rFonts w:ascii="Montserrat" w:hAnsi="Montserrat"/>
              </w:rPr>
              <w:t>Difundir materiales de sensibilización sobre el tema de conflictos de intereses por medio de los Comités de Ética y Prevención de Conflictos de Intereses.</w:t>
            </w:r>
          </w:p>
        </w:tc>
        <w:tc>
          <w:tcPr>
            <w:tcW w:w="3969" w:type="dxa"/>
            <w:shd w:val="clear" w:color="auto" w:fill="auto"/>
          </w:tcPr>
          <w:p w14:paraId="2A055DD9" w14:textId="783F3CB2" w:rsidR="00631326" w:rsidRPr="00B92673" w:rsidRDefault="00B92673" w:rsidP="00B92673">
            <w:pPr>
              <w:jc w:val="both"/>
              <w:rPr>
                <w:rFonts w:ascii="Montserrat" w:hAnsi="Montserrat"/>
              </w:rPr>
            </w:pPr>
            <w:r w:rsidRPr="00B92673">
              <w:rPr>
                <w:rFonts w:ascii="Montserrat" w:hAnsi="Montserrat"/>
              </w:rPr>
              <w:t>Esta actividad aún no ha iniciado</w:t>
            </w:r>
            <w:r w:rsidR="00DE264D">
              <w:rPr>
                <w:rFonts w:ascii="Montserrat" w:hAnsi="Montserrat"/>
              </w:rPr>
              <w:t xml:space="preserve"> pero está prevista en el Plan Anual de Trabajo del Comité de Ética.</w:t>
            </w:r>
            <w:r w:rsidRPr="00B92673">
              <w:rPr>
                <w:rFonts w:ascii="Montserrat" w:hAnsi="Montserrat"/>
              </w:rPr>
              <w:t>.</w:t>
            </w:r>
          </w:p>
        </w:tc>
      </w:tr>
      <w:tr w:rsidR="00301373" w:rsidRPr="00B92673" w14:paraId="30A0B9C0" w14:textId="77777777" w:rsidTr="00B92673">
        <w:tc>
          <w:tcPr>
            <w:tcW w:w="984" w:type="dxa"/>
            <w:shd w:val="clear" w:color="auto" w:fill="auto"/>
          </w:tcPr>
          <w:p w14:paraId="456D3E1B" w14:textId="6819ADE8" w:rsidR="00301373" w:rsidRPr="00B92673" w:rsidRDefault="00301373" w:rsidP="00B92673">
            <w:pPr>
              <w:jc w:val="both"/>
              <w:rPr>
                <w:rFonts w:ascii="Montserrat" w:hAnsi="Montserrat"/>
              </w:rPr>
            </w:pPr>
            <w:r w:rsidRPr="00B92673">
              <w:rPr>
                <w:rFonts w:ascii="Montserrat" w:hAnsi="Montserrat"/>
              </w:rPr>
              <w:lastRenderedPageBreak/>
              <w:t>CI.</w:t>
            </w:r>
            <w:r w:rsidR="00631326" w:rsidRPr="00B92673">
              <w:rPr>
                <w:rFonts w:ascii="Montserrat" w:hAnsi="Montserrat"/>
              </w:rPr>
              <w:t>9</w:t>
            </w:r>
          </w:p>
        </w:tc>
        <w:tc>
          <w:tcPr>
            <w:tcW w:w="3836" w:type="dxa"/>
            <w:shd w:val="clear" w:color="auto" w:fill="auto"/>
          </w:tcPr>
          <w:p w14:paraId="0AF47DC9" w14:textId="77777777" w:rsidR="00301373" w:rsidRPr="00B92673" w:rsidRDefault="00301373" w:rsidP="00B92673">
            <w:pPr>
              <w:rPr>
                <w:rFonts w:ascii="Montserrat" w:hAnsi="Montserrat"/>
              </w:rPr>
            </w:pPr>
            <w:r w:rsidRPr="00B92673">
              <w:rPr>
                <w:rFonts w:ascii="Montserrat" w:hAnsi="Montserrat"/>
              </w:rPr>
              <w:t>Denunciar o dar vista a la Secretaría de la Función Pública de los actos o hechos presuntamente constitutivos de infracciones a las disposiciones en materia de contrataciones públicas, que cometan los licitantes, proveedores o contratistas.</w:t>
            </w:r>
          </w:p>
        </w:tc>
        <w:tc>
          <w:tcPr>
            <w:tcW w:w="3969" w:type="dxa"/>
            <w:shd w:val="clear" w:color="auto" w:fill="auto"/>
          </w:tcPr>
          <w:p w14:paraId="608A31AE" w14:textId="7CA87638" w:rsidR="00301373" w:rsidRPr="00B92673" w:rsidRDefault="00B92673" w:rsidP="00B92673">
            <w:pPr>
              <w:jc w:val="both"/>
              <w:rPr>
                <w:rFonts w:ascii="Montserrat" w:hAnsi="Montserrat"/>
              </w:rPr>
            </w:pPr>
            <w:r w:rsidRPr="00B92673">
              <w:rPr>
                <w:rFonts w:ascii="Montserrat" w:hAnsi="Montserrat"/>
              </w:rPr>
              <w:t>A la fecha</w:t>
            </w:r>
            <w:r w:rsidR="00301373" w:rsidRPr="00B92673">
              <w:rPr>
                <w:rFonts w:ascii="Montserrat" w:hAnsi="Montserrat"/>
              </w:rPr>
              <w:t>, ECOSUR no ha tomado conocimiento de actos o hechos merecedores de denuncias ante la Secretaría de la Función Pública. Por lo tanto, no existe información que reportar.</w:t>
            </w:r>
          </w:p>
        </w:tc>
      </w:tr>
      <w:tr w:rsidR="00301373" w:rsidRPr="00B92673" w14:paraId="640410D5" w14:textId="77777777" w:rsidTr="00B92673">
        <w:tc>
          <w:tcPr>
            <w:tcW w:w="984" w:type="dxa"/>
            <w:shd w:val="clear" w:color="auto" w:fill="auto"/>
          </w:tcPr>
          <w:p w14:paraId="2102D6EA" w14:textId="77777777" w:rsidR="00301373" w:rsidRPr="00B92673" w:rsidRDefault="00301373" w:rsidP="00B92673">
            <w:pPr>
              <w:jc w:val="both"/>
              <w:rPr>
                <w:rFonts w:ascii="Montserrat" w:hAnsi="Montserrat"/>
              </w:rPr>
            </w:pPr>
            <w:r w:rsidRPr="00B92673">
              <w:rPr>
                <w:rFonts w:ascii="Montserrat" w:hAnsi="Montserrat"/>
              </w:rPr>
              <w:t>CI.10</w:t>
            </w:r>
          </w:p>
        </w:tc>
        <w:tc>
          <w:tcPr>
            <w:tcW w:w="3836" w:type="dxa"/>
            <w:shd w:val="clear" w:color="auto" w:fill="auto"/>
          </w:tcPr>
          <w:p w14:paraId="04FB9286" w14:textId="77777777" w:rsidR="00301373" w:rsidRPr="00B92673" w:rsidRDefault="00301373" w:rsidP="00B92673">
            <w:pPr>
              <w:rPr>
                <w:rFonts w:ascii="Montserrat" w:hAnsi="Montserrat"/>
              </w:rPr>
            </w:pPr>
            <w:r w:rsidRPr="00B92673">
              <w:rPr>
                <w:rFonts w:ascii="Montserrat" w:hAnsi="Montserrat"/>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3969" w:type="dxa"/>
            <w:shd w:val="clear" w:color="auto" w:fill="auto"/>
          </w:tcPr>
          <w:p w14:paraId="4230C50B" w14:textId="53D0A5AD" w:rsidR="00301373" w:rsidRPr="00B92673" w:rsidRDefault="00B92673" w:rsidP="00B92673">
            <w:pPr>
              <w:jc w:val="both"/>
              <w:rPr>
                <w:rFonts w:ascii="Montserrat" w:hAnsi="Montserrat"/>
              </w:rPr>
            </w:pPr>
            <w:r w:rsidRPr="00B92673">
              <w:rPr>
                <w:rFonts w:ascii="Montserrat" w:hAnsi="Montserrat"/>
              </w:rPr>
              <w:t>A la fecha</w:t>
            </w:r>
            <w:r w:rsidR="00301373" w:rsidRPr="00B92673">
              <w:rPr>
                <w:rFonts w:ascii="Montserrat" w:hAnsi="Montserrat"/>
              </w:rPr>
              <w:t>, ECOSUR no ha tomado conocimiento de denuncias remitidas la Secretaría de la Función Pública, por lo tanto, no existe información que reportar.</w:t>
            </w:r>
          </w:p>
        </w:tc>
      </w:tr>
      <w:tr w:rsidR="00301373" w:rsidRPr="00B92673" w14:paraId="002C276A" w14:textId="77777777" w:rsidTr="00B92673">
        <w:tc>
          <w:tcPr>
            <w:tcW w:w="984" w:type="dxa"/>
          </w:tcPr>
          <w:p w14:paraId="0B06B36B" w14:textId="11F14510" w:rsidR="00301373" w:rsidRPr="00B92673" w:rsidRDefault="00301373" w:rsidP="00B92673">
            <w:pPr>
              <w:jc w:val="both"/>
              <w:rPr>
                <w:rFonts w:ascii="Montserrat" w:hAnsi="Montserrat"/>
              </w:rPr>
            </w:pPr>
            <w:r w:rsidRPr="00B92673">
              <w:rPr>
                <w:rFonts w:ascii="Montserrat" w:hAnsi="Montserrat"/>
              </w:rPr>
              <w:t>PRH</w:t>
            </w:r>
            <w:r w:rsidR="00631326" w:rsidRPr="00B92673">
              <w:rPr>
                <w:rFonts w:ascii="Montserrat" w:hAnsi="Montserrat"/>
              </w:rPr>
              <w:t>.8</w:t>
            </w:r>
          </w:p>
        </w:tc>
        <w:tc>
          <w:tcPr>
            <w:tcW w:w="3836" w:type="dxa"/>
          </w:tcPr>
          <w:p w14:paraId="1B1DC2E6" w14:textId="0A4763C6" w:rsidR="00301373" w:rsidRPr="00B92673" w:rsidRDefault="00B92673" w:rsidP="00B92673">
            <w:pPr>
              <w:rPr>
                <w:rFonts w:ascii="Montserrat" w:hAnsi="Montserrat"/>
              </w:rPr>
            </w:pPr>
            <w:r w:rsidRPr="00B92673">
              <w:rPr>
                <w:rFonts w:ascii="Montserrat" w:hAnsi="Montserrat"/>
              </w:rPr>
              <w:t>Analizar el impacto de las estructuras orgánicas en el cumplimiento de sus objetivos y resultados institucionales.</w:t>
            </w:r>
          </w:p>
        </w:tc>
        <w:tc>
          <w:tcPr>
            <w:tcW w:w="3969" w:type="dxa"/>
          </w:tcPr>
          <w:p w14:paraId="5FCABFC7" w14:textId="415223D7" w:rsidR="00301373" w:rsidRPr="00B92673" w:rsidRDefault="00B92673" w:rsidP="00B92673">
            <w:pPr>
              <w:jc w:val="both"/>
              <w:rPr>
                <w:rFonts w:ascii="Montserrat" w:hAnsi="Montserrat"/>
              </w:rPr>
            </w:pPr>
            <w:r w:rsidRPr="00B92673">
              <w:rPr>
                <w:rFonts w:ascii="Montserrat" w:hAnsi="Montserrat"/>
              </w:rPr>
              <w:t>En cuanto a aplicar la metodología para el análisis del impacto de las estructuras orgánicas, esta acción se lleva a cabo a través de la Coordinadora Sectorial. El Conacyt solicitó en el mes de diciembre de 2020, el formato denominado "Elementos de análisis", mismo que servirá para la definición del modelo de impacto organizacional de la estructura organizacional de las estructuras orgánicas. Durante el trimestre que se reporta no hubo ningún avance en este tema.</w:t>
            </w:r>
          </w:p>
        </w:tc>
      </w:tr>
      <w:tr w:rsidR="00301373" w:rsidRPr="00B92673" w14:paraId="095BD22F" w14:textId="77777777" w:rsidTr="00B92673">
        <w:tc>
          <w:tcPr>
            <w:tcW w:w="984" w:type="dxa"/>
          </w:tcPr>
          <w:p w14:paraId="38F0B31F" w14:textId="77777777" w:rsidR="00301373" w:rsidRPr="00B92673" w:rsidRDefault="00301373" w:rsidP="00B92673">
            <w:pPr>
              <w:jc w:val="both"/>
              <w:rPr>
                <w:rFonts w:ascii="Montserrat" w:hAnsi="Montserrat"/>
              </w:rPr>
            </w:pPr>
            <w:r w:rsidRPr="00B92673">
              <w:rPr>
                <w:rFonts w:ascii="Montserrat" w:hAnsi="Montserrat"/>
              </w:rPr>
              <w:t>PRH.10</w:t>
            </w:r>
          </w:p>
        </w:tc>
        <w:tc>
          <w:tcPr>
            <w:tcW w:w="3836" w:type="dxa"/>
          </w:tcPr>
          <w:p w14:paraId="05148D26" w14:textId="77777777" w:rsidR="00301373" w:rsidRPr="00B92673" w:rsidRDefault="00301373" w:rsidP="00B92673">
            <w:pPr>
              <w:rPr>
                <w:rFonts w:ascii="Montserrat" w:hAnsi="Montserrat"/>
              </w:rPr>
            </w:pPr>
            <w:r w:rsidRPr="00B92673">
              <w:rPr>
                <w:rFonts w:ascii="Montserrat" w:hAnsi="Montserrat"/>
              </w:rPr>
              <w:t>Proponer al Comité de Control y Desempeño Institucional los acuerdos que permitan dar cumplimiento a las disposiciones normativas en materia de funciones del servicio público.</w:t>
            </w:r>
          </w:p>
        </w:tc>
        <w:tc>
          <w:tcPr>
            <w:tcW w:w="3969" w:type="dxa"/>
          </w:tcPr>
          <w:p w14:paraId="0077A75A" w14:textId="0C1E019C" w:rsidR="00301373" w:rsidRPr="00B92673" w:rsidRDefault="00B92673" w:rsidP="00B92673">
            <w:pPr>
              <w:jc w:val="both"/>
              <w:rPr>
                <w:rFonts w:ascii="Montserrat" w:hAnsi="Montserrat"/>
              </w:rPr>
            </w:pPr>
            <w:r w:rsidRPr="00B92673">
              <w:rPr>
                <w:rFonts w:ascii="Montserrat" w:hAnsi="Montserrat"/>
              </w:rPr>
              <w:t>Una vez que se tenga aprobado el Manual de Organización, se podrá identificar si es suficiente para cumplir con los objetivos y metas institucionales y, en caso de detectar insuficiencias, proponer al COCODI acuerdos que permitan corregirlas.</w:t>
            </w:r>
          </w:p>
        </w:tc>
      </w:tr>
    </w:tbl>
    <w:p w14:paraId="229B082E" w14:textId="77777777" w:rsidR="00301373" w:rsidRPr="00301373" w:rsidRDefault="00301373" w:rsidP="005255BE">
      <w:pPr>
        <w:spacing w:line="276" w:lineRule="auto"/>
        <w:jc w:val="both"/>
        <w:rPr>
          <w:rFonts w:ascii="Montserrat" w:eastAsia="Calibri" w:hAnsi="Montserrat" w:cs="Times New Roman"/>
          <w:sz w:val="22"/>
          <w:szCs w:val="22"/>
        </w:rPr>
      </w:pPr>
    </w:p>
    <w:p w14:paraId="192D80F7" w14:textId="77777777" w:rsidR="00804442" w:rsidRDefault="00B92673" w:rsidP="005255BE">
      <w:pPr>
        <w:spacing w:after="160" w:line="276" w:lineRule="auto"/>
        <w:jc w:val="both"/>
        <w:rPr>
          <w:rFonts w:ascii="Montserrat" w:eastAsia="Calibri" w:hAnsi="Montserrat" w:cs="Times New Roman"/>
          <w:sz w:val="22"/>
          <w:szCs w:val="22"/>
        </w:rPr>
      </w:pPr>
      <w:r>
        <w:rPr>
          <w:rFonts w:ascii="Montserrat" w:eastAsia="Calibri" w:hAnsi="Montserrat" w:cs="Times New Roman"/>
          <w:sz w:val="22"/>
          <w:szCs w:val="22"/>
        </w:rPr>
        <w:t xml:space="preserve">En este primer trimestre 2021 se logró avanzar de manera significativa en 38 compromisos, dejando </w:t>
      </w:r>
      <w:r w:rsidR="00804442">
        <w:rPr>
          <w:rFonts w:ascii="Montserrat" w:eastAsia="Calibri" w:hAnsi="Montserrat" w:cs="Times New Roman"/>
          <w:sz w:val="22"/>
          <w:szCs w:val="22"/>
        </w:rPr>
        <w:t xml:space="preserve">solo dos </w:t>
      </w:r>
      <w:r>
        <w:rPr>
          <w:rFonts w:ascii="Montserrat" w:eastAsia="Calibri" w:hAnsi="Montserrat" w:cs="Times New Roman"/>
          <w:sz w:val="22"/>
          <w:szCs w:val="22"/>
        </w:rPr>
        <w:t xml:space="preserve">acciones </w:t>
      </w:r>
      <w:r w:rsidR="00804442">
        <w:rPr>
          <w:rFonts w:ascii="Montserrat" w:eastAsia="Calibri" w:hAnsi="Montserrat" w:cs="Times New Roman"/>
          <w:sz w:val="22"/>
          <w:szCs w:val="22"/>
        </w:rPr>
        <w:t xml:space="preserve">sin avances entre las que aplican a la institución. </w:t>
      </w:r>
    </w:p>
    <w:p w14:paraId="337D274A" w14:textId="71C032B1" w:rsidR="00301373" w:rsidRPr="00301373" w:rsidRDefault="002127EF" w:rsidP="005255BE">
      <w:pPr>
        <w:spacing w:after="160" w:line="276" w:lineRule="auto"/>
        <w:jc w:val="both"/>
        <w:rPr>
          <w:rFonts w:ascii="Montserrat" w:eastAsia="Calibri" w:hAnsi="Montserrat" w:cs="Times New Roman"/>
          <w:sz w:val="22"/>
          <w:szCs w:val="22"/>
        </w:rPr>
      </w:pPr>
      <w:r>
        <w:rPr>
          <w:rFonts w:ascii="Montserrat" w:eastAsia="Calibri" w:hAnsi="Montserrat" w:cs="Times New Roman"/>
          <w:sz w:val="22"/>
          <w:szCs w:val="22"/>
        </w:rPr>
        <w:t xml:space="preserve">Cabe mencionar que </w:t>
      </w:r>
      <w:r w:rsidR="00204FAF" w:rsidRPr="002E32F7">
        <w:rPr>
          <w:rFonts w:ascii="Montserrat" w:eastAsia="Calibri" w:hAnsi="Montserrat" w:cs="Times New Roman"/>
          <w:sz w:val="22"/>
          <w:szCs w:val="22"/>
        </w:rPr>
        <w:t>después de revisar los avances y evidencias correspondientes</w:t>
      </w:r>
      <w:r>
        <w:rPr>
          <w:rFonts w:ascii="Montserrat" w:eastAsia="Calibri" w:hAnsi="Montserrat" w:cs="Times New Roman"/>
          <w:sz w:val="22"/>
          <w:szCs w:val="22"/>
        </w:rPr>
        <w:t xml:space="preserve"> a 2020</w:t>
      </w:r>
      <w:r w:rsidR="00204FAF" w:rsidRPr="002E32F7">
        <w:rPr>
          <w:rFonts w:ascii="Montserrat" w:eastAsia="Calibri" w:hAnsi="Montserrat" w:cs="Times New Roman"/>
          <w:sz w:val="22"/>
          <w:szCs w:val="22"/>
        </w:rPr>
        <w:t xml:space="preserve">, el Órgano Interno de Control en ECOSUR emitió sus </w:t>
      </w:r>
      <w:r w:rsidR="00204FAF" w:rsidRPr="002E32F7">
        <w:rPr>
          <w:rFonts w:ascii="Montserrat" w:eastAsia="Calibri" w:hAnsi="Montserrat" w:cs="Times New Roman"/>
          <w:sz w:val="22"/>
          <w:szCs w:val="22"/>
        </w:rPr>
        <w:lastRenderedPageBreak/>
        <w:t>observaciones a través del Oficio N°. OIC/11109/108/2021 del 26 de marzo de 2021</w:t>
      </w:r>
      <w:r w:rsidR="009E7EF9" w:rsidRPr="002E32F7">
        <w:rPr>
          <w:rFonts w:ascii="Montserrat" w:eastAsia="Calibri" w:hAnsi="Montserrat" w:cs="Times New Roman"/>
          <w:sz w:val="22"/>
          <w:szCs w:val="22"/>
        </w:rPr>
        <w:t>, mism</w:t>
      </w:r>
      <w:r w:rsidR="006252AE">
        <w:rPr>
          <w:rFonts w:ascii="Montserrat" w:eastAsia="Calibri" w:hAnsi="Montserrat" w:cs="Times New Roman"/>
          <w:sz w:val="22"/>
          <w:szCs w:val="22"/>
        </w:rPr>
        <w:t>as</w:t>
      </w:r>
      <w:r w:rsidR="009E7EF9" w:rsidRPr="002E32F7">
        <w:rPr>
          <w:rFonts w:ascii="Montserrat" w:eastAsia="Calibri" w:hAnsi="Montserrat" w:cs="Times New Roman"/>
          <w:sz w:val="22"/>
          <w:szCs w:val="22"/>
        </w:rPr>
        <w:t xml:space="preserve"> que fue</w:t>
      </w:r>
      <w:r w:rsidR="006252AE">
        <w:rPr>
          <w:rFonts w:ascii="Montserrat" w:eastAsia="Calibri" w:hAnsi="Montserrat" w:cs="Times New Roman"/>
          <w:sz w:val="22"/>
          <w:szCs w:val="22"/>
        </w:rPr>
        <w:t>ron</w:t>
      </w:r>
      <w:r w:rsidR="009E7EF9" w:rsidRPr="002E32F7">
        <w:rPr>
          <w:rFonts w:ascii="Montserrat" w:eastAsia="Calibri" w:hAnsi="Montserrat" w:cs="Times New Roman"/>
          <w:sz w:val="22"/>
          <w:szCs w:val="22"/>
        </w:rPr>
        <w:t xml:space="preserve"> respondid</w:t>
      </w:r>
      <w:r w:rsidR="006252AE">
        <w:rPr>
          <w:rFonts w:ascii="Montserrat" w:eastAsia="Calibri" w:hAnsi="Montserrat" w:cs="Times New Roman"/>
          <w:sz w:val="22"/>
          <w:szCs w:val="22"/>
        </w:rPr>
        <w:t>as</w:t>
      </w:r>
      <w:r w:rsidR="009E7EF9" w:rsidRPr="002E32F7">
        <w:rPr>
          <w:rFonts w:ascii="Montserrat" w:eastAsia="Calibri" w:hAnsi="Montserrat" w:cs="Times New Roman"/>
          <w:sz w:val="22"/>
          <w:szCs w:val="22"/>
        </w:rPr>
        <w:t xml:space="preserve"> </w:t>
      </w:r>
      <w:r w:rsidR="002E32F7" w:rsidRPr="002E32F7">
        <w:rPr>
          <w:rFonts w:ascii="Montserrat" w:eastAsia="Calibri" w:hAnsi="Montserrat" w:cs="Times New Roman"/>
          <w:sz w:val="22"/>
          <w:szCs w:val="22"/>
        </w:rPr>
        <w:t xml:space="preserve">con fecha 12 de abril, </w:t>
      </w:r>
      <w:r w:rsidR="009E7EF9" w:rsidRPr="002E32F7">
        <w:rPr>
          <w:rFonts w:ascii="Montserrat" w:eastAsia="Calibri" w:hAnsi="Montserrat" w:cs="Times New Roman"/>
          <w:sz w:val="22"/>
          <w:szCs w:val="22"/>
        </w:rPr>
        <w:t xml:space="preserve">mediante Oficio </w:t>
      </w:r>
      <w:r w:rsidR="002E32F7" w:rsidRPr="002E32F7">
        <w:rPr>
          <w:rFonts w:ascii="Montserrat" w:eastAsia="Calibri" w:hAnsi="Montserrat" w:cs="Times New Roman"/>
          <w:sz w:val="22"/>
          <w:szCs w:val="22"/>
        </w:rPr>
        <w:t>DG-O-067/21.</w:t>
      </w:r>
      <w:r w:rsidR="009E7EF9" w:rsidRPr="002E32F7">
        <w:rPr>
          <w:rFonts w:ascii="Montserrat" w:eastAsia="Calibri" w:hAnsi="Montserrat" w:cs="Times New Roman"/>
          <w:sz w:val="22"/>
          <w:szCs w:val="22"/>
        </w:rPr>
        <w:t xml:space="preserve"> Se adjunta</w:t>
      </w:r>
      <w:r w:rsidR="009D2F7D" w:rsidRPr="002E32F7">
        <w:rPr>
          <w:rFonts w:ascii="Montserrat" w:eastAsia="Calibri" w:hAnsi="Montserrat" w:cs="Times New Roman"/>
          <w:sz w:val="22"/>
          <w:szCs w:val="22"/>
        </w:rPr>
        <w:t>n los documentos mencionados</w:t>
      </w:r>
      <w:r w:rsidR="009E7EF9" w:rsidRPr="002E32F7">
        <w:rPr>
          <w:rFonts w:ascii="Montserrat" w:eastAsia="Calibri" w:hAnsi="Montserrat" w:cs="Times New Roman"/>
          <w:sz w:val="22"/>
          <w:szCs w:val="22"/>
        </w:rPr>
        <w:t>.</w:t>
      </w:r>
    </w:p>
    <w:p w14:paraId="0084F278" w14:textId="5FBF6482" w:rsidR="00D04F57" w:rsidRPr="002127EF" w:rsidRDefault="00D04F57" w:rsidP="00631326">
      <w:pPr>
        <w:spacing w:after="160" w:line="276" w:lineRule="auto"/>
        <w:jc w:val="both"/>
        <w:rPr>
          <w:rFonts w:ascii="Montserrat" w:eastAsia="Calibri" w:hAnsi="Montserrat" w:cs="Times New Roman"/>
          <w:sz w:val="22"/>
          <w:szCs w:val="22"/>
        </w:rPr>
      </w:pPr>
      <w:r>
        <w:rPr>
          <w:rFonts w:ascii="Montserrat" w:eastAsia="Calibri" w:hAnsi="Montserrat" w:cs="Times New Roman"/>
          <w:sz w:val="22"/>
          <w:szCs w:val="22"/>
        </w:rPr>
        <w:t xml:space="preserve">En esta sesión, para dar cumplimiento a </w:t>
      </w:r>
      <w:r w:rsidR="006252AE">
        <w:rPr>
          <w:rFonts w:ascii="Montserrat" w:eastAsia="Calibri" w:hAnsi="Montserrat" w:cs="Times New Roman"/>
          <w:sz w:val="22"/>
          <w:szCs w:val="22"/>
        </w:rPr>
        <w:t>la observación realizada al compromiso UB10</w:t>
      </w:r>
      <w:r>
        <w:rPr>
          <w:rFonts w:ascii="Montserrat" w:eastAsia="Calibri" w:hAnsi="Montserrat" w:cs="Times New Roman"/>
          <w:sz w:val="22"/>
          <w:szCs w:val="22"/>
        </w:rPr>
        <w:t xml:space="preserve">, se presenta el Inventario vigente de los bienes muebles, su situación jurídica, el registro catastral y contable, su aseguramiento, así como su uso y aprovechamiento, de acuerdo con el compromiso UB10. </w:t>
      </w:r>
    </w:p>
    <w:p w14:paraId="40FAF4E8" w14:textId="187CA2F9" w:rsidR="00F16270" w:rsidRDefault="00631326" w:rsidP="00631326">
      <w:pPr>
        <w:spacing w:after="160" w:line="276" w:lineRule="auto"/>
        <w:contextualSpacing/>
        <w:jc w:val="both"/>
        <w:rPr>
          <w:rFonts w:ascii="Montserrat" w:eastAsia="Calibri" w:hAnsi="Montserrat" w:cs="Times New Roman"/>
          <w:b/>
          <w:bCs/>
          <w:sz w:val="22"/>
          <w:szCs w:val="22"/>
        </w:rPr>
      </w:pPr>
      <w:r>
        <w:rPr>
          <w:rFonts w:ascii="Montserrat" w:eastAsia="Calibri" w:hAnsi="Montserrat" w:cs="Times New Roman"/>
          <w:b/>
          <w:bCs/>
          <w:sz w:val="22"/>
          <w:szCs w:val="22"/>
        </w:rPr>
        <w:t>P</w:t>
      </w:r>
      <w:r w:rsidR="00F16270" w:rsidRPr="00F16270">
        <w:rPr>
          <w:rFonts w:ascii="Montserrat" w:eastAsia="Calibri" w:hAnsi="Montserrat" w:cs="Times New Roman"/>
          <w:b/>
          <w:bCs/>
          <w:sz w:val="22"/>
          <w:szCs w:val="22"/>
        </w:rPr>
        <w:t>ersona funcionaria habilitada para dar seguimiento al programa</w:t>
      </w:r>
    </w:p>
    <w:tbl>
      <w:tblPr>
        <w:tblStyle w:val="Tablaconcuadrcula"/>
        <w:tblW w:w="8784" w:type="dxa"/>
        <w:tblLook w:val="04A0" w:firstRow="1" w:lastRow="0" w:firstColumn="1" w:lastColumn="0" w:noHBand="0" w:noVBand="1"/>
      </w:tblPr>
      <w:tblGrid>
        <w:gridCol w:w="2263"/>
        <w:gridCol w:w="2394"/>
        <w:gridCol w:w="1645"/>
        <w:gridCol w:w="2482"/>
      </w:tblGrid>
      <w:tr w:rsidR="00F16270" w:rsidRPr="00F16270" w14:paraId="58D12C9A" w14:textId="77777777" w:rsidTr="00750983">
        <w:tc>
          <w:tcPr>
            <w:tcW w:w="2263" w:type="dxa"/>
          </w:tcPr>
          <w:p w14:paraId="769237ED"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Nombre</w:t>
            </w:r>
          </w:p>
        </w:tc>
        <w:tc>
          <w:tcPr>
            <w:tcW w:w="2394" w:type="dxa"/>
          </w:tcPr>
          <w:p w14:paraId="62788285"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Cargo</w:t>
            </w:r>
          </w:p>
        </w:tc>
        <w:tc>
          <w:tcPr>
            <w:tcW w:w="1645" w:type="dxa"/>
          </w:tcPr>
          <w:p w14:paraId="4434193C"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Teléfono</w:t>
            </w:r>
          </w:p>
        </w:tc>
        <w:tc>
          <w:tcPr>
            <w:tcW w:w="2482" w:type="dxa"/>
          </w:tcPr>
          <w:p w14:paraId="1DB8E260" w14:textId="77777777" w:rsidR="00F16270" w:rsidRPr="00F16270" w:rsidRDefault="00F16270" w:rsidP="005255BE">
            <w:pPr>
              <w:spacing w:line="276" w:lineRule="auto"/>
              <w:jc w:val="center"/>
              <w:rPr>
                <w:rFonts w:ascii="Montserrat" w:hAnsi="Montserrat"/>
                <w:b/>
                <w:bCs/>
                <w:sz w:val="22"/>
                <w:szCs w:val="22"/>
              </w:rPr>
            </w:pPr>
            <w:r w:rsidRPr="00F16270">
              <w:rPr>
                <w:rFonts w:ascii="Montserrat" w:hAnsi="Montserrat"/>
                <w:b/>
                <w:bCs/>
                <w:sz w:val="22"/>
                <w:szCs w:val="22"/>
              </w:rPr>
              <w:t>correo</w:t>
            </w:r>
          </w:p>
        </w:tc>
      </w:tr>
      <w:tr w:rsidR="00F16270" w:rsidRPr="00F16270" w14:paraId="1F906942" w14:textId="77777777" w:rsidTr="00750983">
        <w:tc>
          <w:tcPr>
            <w:tcW w:w="2263" w:type="dxa"/>
          </w:tcPr>
          <w:p w14:paraId="6BA904D5"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M. A. Leticia Espinosa Cruz</w:t>
            </w:r>
          </w:p>
        </w:tc>
        <w:tc>
          <w:tcPr>
            <w:tcW w:w="2394" w:type="dxa"/>
          </w:tcPr>
          <w:p w14:paraId="4E2B4701"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Directora de Administración</w:t>
            </w:r>
          </w:p>
        </w:tc>
        <w:tc>
          <w:tcPr>
            <w:tcW w:w="1645" w:type="dxa"/>
          </w:tcPr>
          <w:p w14:paraId="6D4FD34B"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967 195 3149</w:t>
            </w:r>
          </w:p>
        </w:tc>
        <w:tc>
          <w:tcPr>
            <w:tcW w:w="2482" w:type="dxa"/>
          </w:tcPr>
          <w:p w14:paraId="2A69CD99" w14:textId="77777777" w:rsidR="00F16270" w:rsidRPr="00F16270" w:rsidRDefault="006E0074" w:rsidP="005255BE">
            <w:pPr>
              <w:spacing w:line="276" w:lineRule="auto"/>
              <w:rPr>
                <w:rFonts w:ascii="Montserrat" w:hAnsi="Montserrat"/>
                <w:sz w:val="22"/>
                <w:szCs w:val="22"/>
              </w:rPr>
            </w:pPr>
            <w:hyperlink r:id="rId7" w:history="1">
              <w:r w:rsidR="00F16270" w:rsidRPr="00F16270">
                <w:rPr>
                  <w:rFonts w:ascii="Montserrat" w:hAnsi="Montserrat"/>
                  <w:color w:val="0563C1" w:themeColor="hyperlink"/>
                  <w:sz w:val="22"/>
                  <w:szCs w:val="22"/>
                  <w:u w:val="single"/>
                </w:rPr>
                <w:t>lespinos@ecosur.mx</w:t>
              </w:r>
            </w:hyperlink>
          </w:p>
          <w:p w14:paraId="3801290B" w14:textId="77777777" w:rsidR="00F16270" w:rsidRPr="00F16270" w:rsidRDefault="00F16270" w:rsidP="005255BE">
            <w:pPr>
              <w:spacing w:line="276" w:lineRule="auto"/>
              <w:rPr>
                <w:rFonts w:ascii="Montserrat" w:hAnsi="Montserrat"/>
                <w:sz w:val="22"/>
                <w:szCs w:val="22"/>
              </w:rPr>
            </w:pPr>
            <w:r w:rsidRPr="00F16270">
              <w:rPr>
                <w:rFonts w:ascii="Montserrat" w:hAnsi="Montserrat"/>
                <w:sz w:val="22"/>
                <w:szCs w:val="22"/>
              </w:rPr>
              <w:t>da@ecosur.mx</w:t>
            </w:r>
          </w:p>
        </w:tc>
      </w:tr>
    </w:tbl>
    <w:p w14:paraId="0222CFCA" w14:textId="77777777" w:rsidR="00F16270" w:rsidRPr="00F16270" w:rsidRDefault="00F16270" w:rsidP="005255BE">
      <w:pPr>
        <w:spacing w:line="276" w:lineRule="auto"/>
        <w:rPr>
          <w:rFonts w:ascii="Montserrat" w:eastAsia="Calibri" w:hAnsi="Montserrat" w:cs="Times New Roman"/>
          <w:sz w:val="22"/>
          <w:szCs w:val="22"/>
        </w:rPr>
      </w:pPr>
    </w:p>
    <w:p w14:paraId="6A468457" w14:textId="77777777" w:rsidR="00D04F57" w:rsidRDefault="00D04F57" w:rsidP="005255BE">
      <w:pPr>
        <w:spacing w:line="276" w:lineRule="auto"/>
        <w:jc w:val="both"/>
        <w:rPr>
          <w:rFonts w:ascii="Montserrat" w:hAnsi="Montserrat" w:cstheme="minorHAnsi"/>
          <w:b/>
          <w:bCs/>
          <w:sz w:val="22"/>
          <w:szCs w:val="22"/>
        </w:rPr>
      </w:pPr>
    </w:p>
    <w:p w14:paraId="506A4D02" w14:textId="4BA73FC7" w:rsidR="003B6E1A" w:rsidRPr="00D04F57" w:rsidRDefault="00D04F57" w:rsidP="005255BE">
      <w:pPr>
        <w:spacing w:line="276" w:lineRule="auto"/>
        <w:jc w:val="both"/>
        <w:rPr>
          <w:rFonts w:ascii="Montserrat" w:hAnsi="Montserrat" w:cstheme="minorHAnsi"/>
          <w:b/>
          <w:bCs/>
          <w:sz w:val="22"/>
          <w:szCs w:val="22"/>
        </w:rPr>
      </w:pPr>
      <w:r w:rsidRPr="00D04F57">
        <w:rPr>
          <w:rFonts w:ascii="Montserrat" w:hAnsi="Montserrat" w:cstheme="minorHAnsi"/>
          <w:b/>
          <w:bCs/>
          <w:sz w:val="22"/>
          <w:szCs w:val="22"/>
        </w:rPr>
        <w:t>Adjuntos</w:t>
      </w:r>
    </w:p>
    <w:p w14:paraId="2BC2C3B3" w14:textId="3B824C53" w:rsidR="00D04F57" w:rsidRPr="002127EF" w:rsidRDefault="00D04F57" w:rsidP="002127EF">
      <w:pPr>
        <w:pStyle w:val="Prrafodelista"/>
        <w:numPr>
          <w:ilvl w:val="0"/>
          <w:numId w:val="2"/>
        </w:numPr>
        <w:spacing w:line="276" w:lineRule="auto"/>
        <w:ind w:left="284" w:hanging="284"/>
        <w:jc w:val="both"/>
        <w:rPr>
          <w:rFonts w:ascii="Montserrat" w:hAnsi="Montserrat" w:cstheme="minorHAnsi"/>
          <w:sz w:val="22"/>
          <w:szCs w:val="22"/>
        </w:rPr>
      </w:pPr>
      <w:r w:rsidRPr="002127EF">
        <w:rPr>
          <w:rFonts w:ascii="Montserrat" w:hAnsi="Montserrat" w:cstheme="minorHAnsi"/>
          <w:sz w:val="22"/>
          <w:szCs w:val="22"/>
        </w:rPr>
        <w:t>Reporte de los compromisos registrados en el sistema habilitado</w:t>
      </w:r>
    </w:p>
    <w:p w14:paraId="10B6D73C" w14:textId="6DCFB6FE" w:rsidR="00D04F57" w:rsidRPr="002127EF" w:rsidRDefault="00D04F57" w:rsidP="002127EF">
      <w:pPr>
        <w:pStyle w:val="Prrafodelista"/>
        <w:numPr>
          <w:ilvl w:val="0"/>
          <w:numId w:val="2"/>
        </w:numPr>
        <w:spacing w:line="276" w:lineRule="auto"/>
        <w:ind w:left="284" w:hanging="284"/>
        <w:jc w:val="both"/>
        <w:rPr>
          <w:rFonts w:ascii="Montserrat" w:hAnsi="Montserrat" w:cstheme="minorHAnsi"/>
          <w:sz w:val="22"/>
          <w:szCs w:val="22"/>
        </w:rPr>
      </w:pPr>
      <w:r w:rsidRPr="002127EF">
        <w:rPr>
          <w:rFonts w:ascii="Montserrat" w:hAnsi="Montserrat" w:cstheme="minorHAnsi"/>
          <w:sz w:val="22"/>
          <w:szCs w:val="22"/>
        </w:rPr>
        <w:t>Reporte de los indicadores registrados en el sistema habilitado</w:t>
      </w:r>
    </w:p>
    <w:p w14:paraId="54AC1A3F" w14:textId="07B872A9" w:rsidR="00D04F57" w:rsidRPr="002127EF" w:rsidRDefault="00D04F57" w:rsidP="002127EF">
      <w:pPr>
        <w:pStyle w:val="Prrafodelista"/>
        <w:numPr>
          <w:ilvl w:val="0"/>
          <w:numId w:val="2"/>
        </w:numPr>
        <w:spacing w:line="276" w:lineRule="auto"/>
        <w:ind w:left="284" w:hanging="284"/>
        <w:jc w:val="both"/>
        <w:rPr>
          <w:rFonts w:ascii="Montserrat" w:hAnsi="Montserrat" w:cstheme="minorHAnsi"/>
          <w:sz w:val="22"/>
          <w:szCs w:val="22"/>
        </w:rPr>
      </w:pPr>
      <w:r w:rsidRPr="002127EF">
        <w:rPr>
          <w:rFonts w:ascii="Montserrat" w:hAnsi="Montserrat" w:cstheme="minorHAnsi"/>
          <w:sz w:val="22"/>
          <w:szCs w:val="22"/>
        </w:rPr>
        <w:t>Oficio N° OIC/1119/108/2021 de fecha 26 de marzo y su anexo único</w:t>
      </w:r>
    </w:p>
    <w:p w14:paraId="4A137A9C" w14:textId="76E97D1B" w:rsidR="00D04F57" w:rsidRPr="002127EF" w:rsidRDefault="00D04F57" w:rsidP="002127EF">
      <w:pPr>
        <w:pStyle w:val="Prrafodelista"/>
        <w:numPr>
          <w:ilvl w:val="0"/>
          <w:numId w:val="2"/>
        </w:numPr>
        <w:spacing w:line="276" w:lineRule="auto"/>
        <w:ind w:left="284" w:hanging="284"/>
        <w:jc w:val="both"/>
        <w:rPr>
          <w:rFonts w:ascii="Montserrat" w:hAnsi="Montserrat" w:cstheme="minorHAnsi"/>
          <w:sz w:val="22"/>
          <w:szCs w:val="22"/>
        </w:rPr>
      </w:pPr>
      <w:r w:rsidRPr="002127EF">
        <w:rPr>
          <w:rFonts w:ascii="Montserrat" w:hAnsi="Montserrat" w:cstheme="minorHAnsi"/>
          <w:sz w:val="22"/>
          <w:szCs w:val="22"/>
        </w:rPr>
        <w:t>Oficio DG-O-067-21 de fecha 12 de abril y su Anexo único</w:t>
      </w:r>
    </w:p>
    <w:p w14:paraId="76715F34" w14:textId="60848C3F" w:rsidR="00D04F57" w:rsidRPr="002127EF" w:rsidRDefault="00D04F57" w:rsidP="002127EF">
      <w:pPr>
        <w:pStyle w:val="Prrafodelista"/>
        <w:numPr>
          <w:ilvl w:val="0"/>
          <w:numId w:val="2"/>
        </w:numPr>
        <w:spacing w:line="276" w:lineRule="auto"/>
        <w:ind w:left="284" w:hanging="284"/>
        <w:jc w:val="both"/>
        <w:rPr>
          <w:rFonts w:ascii="Montserrat" w:hAnsi="Montserrat" w:cstheme="minorHAnsi"/>
          <w:sz w:val="22"/>
          <w:szCs w:val="22"/>
        </w:rPr>
      </w:pPr>
      <w:r w:rsidRPr="002127EF">
        <w:rPr>
          <w:rFonts w:ascii="Montserrat" w:hAnsi="Montserrat" w:cstheme="minorHAnsi"/>
          <w:sz w:val="22"/>
          <w:szCs w:val="22"/>
        </w:rPr>
        <w:t>Inventario de los Bienes muebles de ECOSUR</w:t>
      </w:r>
      <w:r w:rsidR="002127EF">
        <w:rPr>
          <w:rFonts w:ascii="Montserrat" w:hAnsi="Montserrat" w:cstheme="minorHAnsi"/>
          <w:sz w:val="22"/>
          <w:szCs w:val="22"/>
        </w:rPr>
        <w:t>.</w:t>
      </w:r>
    </w:p>
    <w:p w14:paraId="2893E2A3" w14:textId="77777777" w:rsidR="00D04F57" w:rsidRPr="00301373" w:rsidRDefault="00D04F57" w:rsidP="005255BE">
      <w:pPr>
        <w:spacing w:line="276" w:lineRule="auto"/>
        <w:jc w:val="both"/>
        <w:rPr>
          <w:rFonts w:ascii="Montserrat" w:hAnsi="Montserrat" w:cstheme="minorHAnsi"/>
          <w:sz w:val="22"/>
          <w:szCs w:val="22"/>
        </w:rPr>
      </w:pPr>
    </w:p>
    <w:sectPr w:rsidR="00D04F57" w:rsidRPr="00301373" w:rsidSect="00E364CC">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4676" w14:textId="77777777" w:rsidR="006E0074" w:rsidRDefault="006E0074" w:rsidP="00E57969">
      <w:r>
        <w:separator/>
      </w:r>
    </w:p>
  </w:endnote>
  <w:endnote w:type="continuationSeparator" w:id="0">
    <w:p w14:paraId="6FFEE399" w14:textId="77777777" w:rsidR="006E0074" w:rsidRDefault="006E0074"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5F23D0E7" w:rsidR="00E57969" w:rsidRPr="009E5A53" w:rsidRDefault="00E364CC" w:rsidP="00F55D12">
    <w:pPr>
      <w:pStyle w:val="Piedepgina"/>
      <w:tabs>
        <w:tab w:val="left" w:pos="7668"/>
      </w:tabs>
      <w:rPr>
        <w:rFonts w:ascii="Montserrat" w:hAnsi="Montserrat"/>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E57969" w:rsidRPr="009E5A53">
      <w:rPr>
        <w:rFonts w:ascii="Montserrat" w:hAnsi="Montserrat"/>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9523" w14:textId="77777777" w:rsidR="006E0074" w:rsidRDefault="006E0074" w:rsidP="00E57969">
      <w:r>
        <w:separator/>
      </w:r>
    </w:p>
  </w:footnote>
  <w:footnote w:type="continuationSeparator" w:id="0">
    <w:p w14:paraId="3BE1D361" w14:textId="77777777" w:rsidR="006E0074" w:rsidRDefault="006E0074"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4DA7417A" w:rsidR="00EE1715" w:rsidRDefault="005255BE" w:rsidP="00E364CC">
    <w:pPr>
      <w:pStyle w:val="Encabezado"/>
      <w:tabs>
        <w:tab w:val="left" w:pos="1134"/>
      </w:tabs>
    </w:pPr>
    <w:r>
      <w:rPr>
        <w:noProof/>
      </w:rPr>
      <w:drawing>
        <wp:anchor distT="0" distB="0" distL="114300" distR="114300" simplePos="0" relativeHeight="251658240" behindDoc="0" locked="0" layoutInCell="1" allowOverlap="1" wp14:anchorId="7361072C" wp14:editId="7B67E8FB">
          <wp:simplePos x="0" y="0"/>
          <wp:positionH relativeFrom="column">
            <wp:posOffset>120015</wp:posOffset>
          </wp:positionH>
          <wp:positionV relativeFrom="paragraph">
            <wp:posOffset>-126365</wp:posOffset>
          </wp:positionV>
          <wp:extent cx="5401310" cy="1085215"/>
          <wp:effectExtent l="0" t="0" r="889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p>
  <w:p w14:paraId="38269FE9" w14:textId="1FA30FF1" w:rsidR="00EE1715" w:rsidRDefault="00EE1715" w:rsidP="00E364CC">
    <w:pPr>
      <w:pStyle w:val="Encabezado"/>
      <w:tabs>
        <w:tab w:val="left" w:pos="1134"/>
      </w:tabs>
    </w:pPr>
  </w:p>
  <w:p w14:paraId="4C55FC95" w14:textId="7495067B" w:rsidR="00EE1715" w:rsidRDefault="00EE1715" w:rsidP="00E364CC">
    <w:pPr>
      <w:pStyle w:val="Encabezado"/>
      <w:tabs>
        <w:tab w:val="left" w:pos="1134"/>
      </w:tabs>
    </w:pPr>
  </w:p>
  <w:p w14:paraId="1E476FFE" w14:textId="7D5830BD" w:rsidR="00EE1715" w:rsidRDefault="00EE1715" w:rsidP="00E364CC">
    <w:pPr>
      <w:pStyle w:val="Encabezado"/>
      <w:tabs>
        <w:tab w:val="left" w:pos="1134"/>
      </w:tabs>
    </w:pPr>
  </w:p>
  <w:p w14:paraId="3B52B78D" w14:textId="77777777" w:rsidR="005255BE" w:rsidRDefault="005255BE" w:rsidP="00E364CC">
    <w:pPr>
      <w:pStyle w:val="Encabezado"/>
      <w:tabs>
        <w:tab w:val="left" w:pos="1134"/>
      </w:tabs>
    </w:pP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146DD7"/>
    <w:rsid w:val="00154FF8"/>
    <w:rsid w:val="00204FAF"/>
    <w:rsid w:val="0020676A"/>
    <w:rsid w:val="002127EF"/>
    <w:rsid w:val="0021496C"/>
    <w:rsid w:val="002478D4"/>
    <w:rsid w:val="002E32F7"/>
    <w:rsid w:val="002F2039"/>
    <w:rsid w:val="00301373"/>
    <w:rsid w:val="003308E5"/>
    <w:rsid w:val="00371747"/>
    <w:rsid w:val="003A1C6A"/>
    <w:rsid w:val="003A3486"/>
    <w:rsid w:val="003B6E1A"/>
    <w:rsid w:val="003E067A"/>
    <w:rsid w:val="0045608F"/>
    <w:rsid w:val="004E20F0"/>
    <w:rsid w:val="005255BE"/>
    <w:rsid w:val="005318E5"/>
    <w:rsid w:val="005C7207"/>
    <w:rsid w:val="005D56A6"/>
    <w:rsid w:val="005F58F1"/>
    <w:rsid w:val="006252AE"/>
    <w:rsid w:val="00631326"/>
    <w:rsid w:val="00645FBE"/>
    <w:rsid w:val="00657D31"/>
    <w:rsid w:val="006740D5"/>
    <w:rsid w:val="006E0074"/>
    <w:rsid w:val="00720152"/>
    <w:rsid w:val="0077789C"/>
    <w:rsid w:val="00795739"/>
    <w:rsid w:val="00804442"/>
    <w:rsid w:val="00810D23"/>
    <w:rsid w:val="00973CDD"/>
    <w:rsid w:val="0098340D"/>
    <w:rsid w:val="009D2F7D"/>
    <w:rsid w:val="009E5A53"/>
    <w:rsid w:val="009E7EF9"/>
    <w:rsid w:val="00A936C0"/>
    <w:rsid w:val="00AA24D2"/>
    <w:rsid w:val="00AB26CC"/>
    <w:rsid w:val="00AC7A14"/>
    <w:rsid w:val="00B92673"/>
    <w:rsid w:val="00BC1469"/>
    <w:rsid w:val="00BF3C06"/>
    <w:rsid w:val="00C61AD7"/>
    <w:rsid w:val="00CA039F"/>
    <w:rsid w:val="00CF7D33"/>
    <w:rsid w:val="00D04F57"/>
    <w:rsid w:val="00D3488F"/>
    <w:rsid w:val="00DA59E2"/>
    <w:rsid w:val="00DB7382"/>
    <w:rsid w:val="00DE264D"/>
    <w:rsid w:val="00E24D51"/>
    <w:rsid w:val="00E364CC"/>
    <w:rsid w:val="00E57969"/>
    <w:rsid w:val="00E72E59"/>
    <w:rsid w:val="00E92FC0"/>
    <w:rsid w:val="00ED17A4"/>
    <w:rsid w:val="00EE1715"/>
    <w:rsid w:val="00F16270"/>
    <w:rsid w:val="00F41A2C"/>
    <w:rsid w:val="00F55D12"/>
    <w:rsid w:val="00F71A3F"/>
    <w:rsid w:val="00F80566"/>
    <w:rsid w:val="00F83987"/>
    <w:rsid w:val="00FA7510"/>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table" w:styleId="Tablaconcuadrcula">
    <w:name w:val="Table Grid"/>
    <w:basedOn w:val="Tablanormal"/>
    <w:uiPriority w:val="39"/>
    <w:rsid w:val="00F16270"/>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pinos@ecosur.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1076</Words>
  <Characters>5921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cp:lastModifiedBy>
  <cp:revision>13</cp:revision>
  <cp:lastPrinted>2021-04-06T16:08:00Z</cp:lastPrinted>
  <dcterms:created xsi:type="dcterms:W3CDTF">2021-04-15T18:31:00Z</dcterms:created>
  <dcterms:modified xsi:type="dcterms:W3CDTF">2021-04-17T15:04:00Z</dcterms:modified>
</cp:coreProperties>
</file>