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F2605" w14:textId="4D8CEEA7" w:rsidR="00150E6B" w:rsidRDefault="00150E6B" w:rsidP="00366970">
      <w:pPr>
        <w:spacing w:after="0"/>
        <w:rPr>
          <w:rFonts w:ascii="Montserrat" w:hAnsi="Montserrat"/>
          <w:b/>
          <w:bCs/>
          <w:sz w:val="28"/>
          <w:szCs w:val="28"/>
        </w:rPr>
      </w:pPr>
      <w:r w:rsidRPr="00A81726">
        <w:rPr>
          <w:rFonts w:ascii="Montserrat" w:hAnsi="Montserrat"/>
          <w:b/>
          <w:bCs/>
          <w:sz w:val="28"/>
          <w:szCs w:val="28"/>
        </w:rPr>
        <w:t>IV. Seguimiento de Acuerdos</w:t>
      </w:r>
    </w:p>
    <w:p w14:paraId="32AC68CA" w14:textId="77777777" w:rsidR="00366970" w:rsidRPr="00366970" w:rsidRDefault="00366970" w:rsidP="00366970">
      <w:pPr>
        <w:spacing w:after="0"/>
        <w:rPr>
          <w:rFonts w:ascii="Montserrat" w:hAnsi="Montserrat"/>
          <w:b/>
          <w:bCs/>
        </w:rPr>
      </w:pPr>
    </w:p>
    <w:tbl>
      <w:tblPr>
        <w:tblStyle w:val="Tablaconcuadrcula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3969"/>
        <w:gridCol w:w="1276"/>
        <w:gridCol w:w="1701"/>
        <w:gridCol w:w="2126"/>
      </w:tblGrid>
      <w:tr w:rsidR="0090240C" w:rsidRPr="00383204" w14:paraId="124CCE03" w14:textId="77777777" w:rsidTr="00DF3E0B">
        <w:trPr>
          <w:trHeight w:val="182"/>
        </w:trPr>
        <w:tc>
          <w:tcPr>
            <w:tcW w:w="3403" w:type="dxa"/>
            <w:gridSpan w:val="2"/>
            <w:shd w:val="clear" w:color="auto" w:fill="DEEAF6" w:themeFill="accent5" w:themeFillTint="33"/>
          </w:tcPr>
          <w:p w14:paraId="2A2BCDAE" w14:textId="0224633A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hAnsi="Montserrat"/>
                <w:b/>
                <w:bCs/>
                <w:sz w:val="20"/>
                <w:szCs w:val="20"/>
              </w:rPr>
              <w:t>Acuerdo</w:t>
            </w:r>
          </w:p>
        </w:tc>
        <w:tc>
          <w:tcPr>
            <w:tcW w:w="1842" w:type="dxa"/>
            <w:vMerge w:val="restart"/>
            <w:shd w:val="clear" w:color="auto" w:fill="DEEAF6" w:themeFill="accent5" w:themeFillTint="33"/>
          </w:tcPr>
          <w:p w14:paraId="78BF8129" w14:textId="77777777" w:rsidR="00EE3A92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hAnsi="Montserrat"/>
                <w:b/>
                <w:bCs/>
                <w:sz w:val="20"/>
                <w:szCs w:val="20"/>
              </w:rPr>
              <w:t>Área(s) responsable(s)</w:t>
            </w:r>
          </w:p>
          <w:p w14:paraId="6D7E62D3" w14:textId="5DED6EC6" w:rsidR="00235FD1" w:rsidRPr="00235FD1" w:rsidRDefault="00235FD1" w:rsidP="00235FD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DEEAF6" w:themeFill="accent5" w:themeFillTint="33"/>
          </w:tcPr>
          <w:p w14:paraId="563A7B6B" w14:textId="77777777" w:rsidR="007B64B3" w:rsidRPr="00383204" w:rsidRDefault="007B64B3" w:rsidP="0092365B">
            <w:pPr>
              <w:spacing w:line="240" w:lineRule="auto"/>
              <w:jc w:val="center"/>
              <w:rPr>
                <w:rFonts w:ascii="Montserrat" w:eastAsia="Candara" w:hAnsi="Montserrat" w:cs="Candara"/>
                <w:b/>
                <w:spacing w:val="2"/>
                <w:w w:val="102"/>
                <w:sz w:val="20"/>
                <w:szCs w:val="20"/>
              </w:rPr>
            </w:pPr>
          </w:p>
          <w:p w14:paraId="24A237F5" w14:textId="31599F21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eastAsia="Candara" w:hAnsi="Montserrat" w:cs="Candara"/>
                <w:b/>
                <w:spacing w:val="2"/>
                <w:w w:val="102"/>
                <w:sz w:val="20"/>
                <w:szCs w:val="20"/>
              </w:rPr>
              <w:t>Acciones realizadas</w:t>
            </w:r>
          </w:p>
        </w:tc>
        <w:tc>
          <w:tcPr>
            <w:tcW w:w="1276" w:type="dxa"/>
            <w:vMerge w:val="restart"/>
            <w:shd w:val="clear" w:color="auto" w:fill="DEEAF6" w:themeFill="accent5" w:themeFillTint="33"/>
          </w:tcPr>
          <w:p w14:paraId="7E497CDB" w14:textId="27540391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eastAsia="Candara" w:hAnsi="Montserrat" w:cs="Candara"/>
                <w:b/>
                <w:spacing w:val="2"/>
                <w:w w:val="103"/>
                <w:sz w:val="20"/>
                <w:szCs w:val="20"/>
              </w:rPr>
              <w:t>% avances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</w:tcPr>
          <w:p w14:paraId="6447C901" w14:textId="0805648D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eastAsia="Candara" w:hAnsi="Montserrat" w:cs="Candara"/>
                <w:b/>
                <w:spacing w:val="2"/>
                <w:w w:val="102"/>
                <w:sz w:val="20"/>
                <w:szCs w:val="20"/>
              </w:rPr>
              <w:t>Fecha compromiso</w:t>
            </w:r>
          </w:p>
        </w:tc>
        <w:tc>
          <w:tcPr>
            <w:tcW w:w="2126" w:type="dxa"/>
            <w:vMerge w:val="restart"/>
            <w:shd w:val="clear" w:color="auto" w:fill="DEEAF6" w:themeFill="accent5" w:themeFillTint="33"/>
          </w:tcPr>
          <w:p w14:paraId="30F7177C" w14:textId="584689D4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eastAsia="Candara" w:hAnsi="Montserrat" w:cs="Candara"/>
                <w:b/>
                <w:spacing w:val="2"/>
                <w:w w:val="102"/>
                <w:sz w:val="20"/>
                <w:szCs w:val="20"/>
              </w:rPr>
              <w:t>Impacto negativo en caso de no cumplir en tiempo y forma</w:t>
            </w:r>
          </w:p>
        </w:tc>
      </w:tr>
      <w:tr w:rsidR="007B64B3" w:rsidRPr="00383204" w14:paraId="510849AB" w14:textId="77777777" w:rsidTr="00DF3E0B">
        <w:trPr>
          <w:trHeight w:val="181"/>
        </w:trPr>
        <w:tc>
          <w:tcPr>
            <w:tcW w:w="709" w:type="dxa"/>
            <w:shd w:val="clear" w:color="auto" w:fill="DEEAF6" w:themeFill="accent5" w:themeFillTint="33"/>
          </w:tcPr>
          <w:p w14:paraId="1D00397E" w14:textId="1677523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hAnsi="Montserrat"/>
                <w:b/>
                <w:bCs/>
                <w:sz w:val="20"/>
                <w:szCs w:val="20"/>
              </w:rPr>
              <w:t>N</w:t>
            </w:r>
            <w:r w:rsidR="007B64B3" w:rsidRPr="00383204">
              <w:rPr>
                <w:rFonts w:ascii="Montserrat" w:hAnsi="Montserrat"/>
                <w:b/>
                <w:bCs/>
                <w:sz w:val="20"/>
                <w:szCs w:val="20"/>
              </w:rPr>
              <w:t>°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5EB1B67D" w14:textId="675F30FD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hAnsi="Montserrat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vMerge/>
            <w:shd w:val="clear" w:color="auto" w:fill="DEEAF6" w:themeFill="accent5" w:themeFillTint="33"/>
          </w:tcPr>
          <w:p w14:paraId="62B2D185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DEEAF6" w:themeFill="accent5" w:themeFillTint="33"/>
          </w:tcPr>
          <w:p w14:paraId="011CBBAE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5" w:themeFillTint="33"/>
          </w:tcPr>
          <w:p w14:paraId="4658A5F4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</w:tcPr>
          <w:p w14:paraId="51E34DC5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EEAF6" w:themeFill="accent5" w:themeFillTint="33"/>
          </w:tcPr>
          <w:p w14:paraId="182B527D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1A23D5" w:rsidRPr="00140AA7" w14:paraId="6BBF050B" w14:textId="77777777" w:rsidTr="00DF3E0B">
        <w:tc>
          <w:tcPr>
            <w:tcW w:w="709" w:type="dxa"/>
          </w:tcPr>
          <w:p w14:paraId="2B477166" w14:textId="30485619" w:rsidR="001A23D5" w:rsidRPr="00140AA7" w:rsidRDefault="001A23D5" w:rsidP="001A23D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140AA7">
              <w:rPr>
                <w:rFonts w:ascii="Montserrat" w:hAnsi="Montserrat"/>
                <w:sz w:val="20"/>
                <w:szCs w:val="20"/>
              </w:rPr>
              <w:t>01-IV-2020</w:t>
            </w:r>
          </w:p>
        </w:tc>
        <w:tc>
          <w:tcPr>
            <w:tcW w:w="2694" w:type="dxa"/>
          </w:tcPr>
          <w:p w14:paraId="6ED61092" w14:textId="3CD0B3D0" w:rsidR="001A23D5" w:rsidRPr="00140AA7" w:rsidRDefault="001A23D5" w:rsidP="001A23D5">
            <w:pPr>
              <w:spacing w:after="0" w:line="240" w:lineRule="auto"/>
              <w:rPr>
                <w:rFonts w:ascii="Montserrat" w:eastAsia="Batang" w:hAnsi="Montserrat" w:cs="Arial"/>
                <w:color w:val="000000"/>
                <w:kern w:val="18"/>
                <w:sz w:val="20"/>
                <w:szCs w:val="20"/>
                <w:lang w:val="es-ES"/>
              </w:rPr>
            </w:pPr>
            <w:r w:rsidRPr="00140AA7">
              <w:rPr>
                <w:rFonts w:ascii="Montserrat" w:eastAsia="Batang" w:hAnsi="Montserrat" w:cs="Arial"/>
                <w:color w:val="000000" w:themeColor="text1"/>
                <w:kern w:val="18"/>
                <w:sz w:val="20"/>
                <w:szCs w:val="20"/>
                <w:lang w:val="es-ES"/>
              </w:rPr>
              <w:t>Seguimiento al proceso de extinción del Fondo de Investigación Científica y Desarrollo Tecnológico de El Colegio de la Frontera Sur” (FID 784) y atender a cabalidad el decreto de extinción emitido el 0</w:t>
            </w:r>
            <w:r>
              <w:rPr>
                <w:rFonts w:ascii="Montserrat" w:eastAsia="Batang" w:hAnsi="Montserrat" w:cs="Arial"/>
                <w:color w:val="000000" w:themeColor="text1"/>
                <w:kern w:val="18"/>
                <w:sz w:val="20"/>
                <w:szCs w:val="20"/>
                <w:lang w:val="es-ES"/>
              </w:rPr>
              <w:t>6</w:t>
            </w:r>
            <w:r w:rsidRPr="00140AA7">
              <w:rPr>
                <w:rFonts w:ascii="Montserrat" w:eastAsia="Batang" w:hAnsi="Montserrat" w:cs="Arial"/>
                <w:color w:val="000000" w:themeColor="text1"/>
                <w:kern w:val="18"/>
                <w:sz w:val="20"/>
                <w:szCs w:val="20"/>
                <w:lang w:val="es-ES"/>
              </w:rPr>
              <w:t xml:space="preserve"> de noviembre de 2020</w:t>
            </w:r>
          </w:p>
        </w:tc>
        <w:tc>
          <w:tcPr>
            <w:tcW w:w="1842" w:type="dxa"/>
          </w:tcPr>
          <w:p w14:paraId="2546ABEC" w14:textId="18354594" w:rsidR="001A23D5" w:rsidRPr="00140AA7" w:rsidRDefault="001A23D5" w:rsidP="001A23D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140AA7">
              <w:rPr>
                <w:rFonts w:ascii="Montserrat" w:hAnsi="Montserrat"/>
                <w:sz w:val="20"/>
                <w:szCs w:val="20"/>
              </w:rPr>
              <w:t>Dirección de Administración</w:t>
            </w:r>
          </w:p>
        </w:tc>
        <w:tc>
          <w:tcPr>
            <w:tcW w:w="3969" w:type="dxa"/>
          </w:tcPr>
          <w:p w14:paraId="1E35DDA3" w14:textId="78BD4A6E" w:rsidR="001A23D5" w:rsidRPr="004F513C" w:rsidRDefault="00D91344" w:rsidP="00366970">
            <w:pPr>
              <w:spacing w:after="0" w:line="240" w:lineRule="auto"/>
              <w:ind w:right="114"/>
              <w:rPr>
                <w:rFonts w:ascii="Montserrat" w:eastAsia="Candara" w:hAnsi="Montserrat" w:cs="Candara"/>
                <w:bCs/>
                <w:sz w:val="20"/>
                <w:szCs w:val="20"/>
              </w:rPr>
            </w:pPr>
            <w:r>
              <w:rPr>
                <w:rFonts w:ascii="Montserrat" w:eastAsia="Candara" w:hAnsi="Montserrat" w:cs="Candara"/>
                <w:sz w:val="20"/>
                <w:szCs w:val="20"/>
              </w:rPr>
              <w:t>Se atendió</w:t>
            </w:r>
            <w:r w:rsidR="00B63283">
              <w:rPr>
                <w:rFonts w:ascii="Montserrat" w:eastAsia="Candara" w:hAnsi="Montserrat" w:cs="Candara"/>
                <w:sz w:val="20"/>
                <w:szCs w:val="20"/>
              </w:rPr>
              <w:t xml:space="preserve"> lo dispuesto en </w:t>
            </w:r>
            <w:proofErr w:type="gramStart"/>
            <w:r w:rsidR="00B63283">
              <w:rPr>
                <w:rFonts w:ascii="Montserrat" w:eastAsia="Candara" w:hAnsi="Montserrat" w:cs="Candara"/>
                <w:sz w:val="20"/>
                <w:szCs w:val="20"/>
              </w:rPr>
              <w:t>el</w:t>
            </w:r>
            <w:r w:rsidR="005369CF">
              <w:rPr>
                <w:rFonts w:ascii="Montserrat" w:eastAsia="Candara" w:hAnsi="Montserrat" w:cs="Candara"/>
                <w:sz w:val="20"/>
                <w:szCs w:val="20"/>
              </w:rPr>
              <w:t xml:space="preserve"> </w:t>
            </w:r>
            <w:r w:rsidR="002846A0">
              <w:rPr>
                <w:rFonts w:ascii="Montserrat" w:eastAsia="Candara" w:hAnsi="Montserrat" w:cs="Candara"/>
                <w:sz w:val="20"/>
                <w:szCs w:val="20"/>
              </w:rPr>
              <w:t xml:space="preserve"> </w:t>
            </w:r>
            <w:r w:rsidR="005369CF" w:rsidRPr="005369CF">
              <w:rPr>
                <w:rFonts w:ascii="Montserrat" w:eastAsia="Candara" w:hAnsi="Montserrat" w:cs="Candara"/>
                <w:b/>
                <w:bCs/>
                <w:sz w:val="20"/>
                <w:szCs w:val="20"/>
              </w:rPr>
              <w:t>DECRETO</w:t>
            </w:r>
            <w:proofErr w:type="gramEnd"/>
            <w:r w:rsidR="005369CF">
              <w:rPr>
                <w:rFonts w:ascii="Montserrat" w:eastAsia="Candara" w:hAnsi="Montserrat" w:cs="Candara"/>
                <w:sz w:val="20"/>
                <w:szCs w:val="20"/>
              </w:rPr>
              <w:t xml:space="preserve"> </w:t>
            </w:r>
            <w:r w:rsidR="00B63283">
              <w:rPr>
                <w:rFonts w:ascii="Montserrat" w:eastAsia="Candara" w:hAnsi="Montserrat" w:cs="Candara"/>
                <w:sz w:val="20"/>
                <w:szCs w:val="20"/>
              </w:rPr>
              <w:t xml:space="preserve">por el que se reforman y derogan diversas disposiciones de la Ley de Ciencia y Tecnología, </w:t>
            </w:r>
            <w:r w:rsidR="005369CF">
              <w:rPr>
                <w:rFonts w:ascii="Montserrat" w:eastAsia="Candara" w:hAnsi="Montserrat" w:cs="Candara"/>
                <w:sz w:val="20"/>
                <w:szCs w:val="20"/>
              </w:rPr>
              <w:t>publicado en el Diario Oficial de la Federación el día 6 de noviembre de 2020</w:t>
            </w:r>
            <w:r>
              <w:rPr>
                <w:rFonts w:ascii="Montserrat" w:eastAsia="Candara" w:hAnsi="Montserrat" w:cs="Candara"/>
                <w:sz w:val="20"/>
                <w:szCs w:val="20"/>
              </w:rPr>
              <w:t>.</w:t>
            </w:r>
            <w:r w:rsidR="009A429E">
              <w:rPr>
                <w:rFonts w:ascii="Montserrat" w:eastAsia="Candara" w:hAnsi="Montserrat" w:cs="Candara"/>
                <w:sz w:val="20"/>
                <w:szCs w:val="20"/>
              </w:rPr>
              <w:t xml:space="preserve"> </w:t>
            </w:r>
            <w:r>
              <w:rPr>
                <w:rFonts w:ascii="Montserrat" w:eastAsia="Candara" w:hAnsi="Montserrat" w:cs="Candara"/>
                <w:sz w:val="20"/>
                <w:szCs w:val="20"/>
              </w:rPr>
              <w:t>E</w:t>
            </w:r>
            <w:r w:rsidR="009A429E">
              <w:rPr>
                <w:rFonts w:ascii="Montserrat" w:eastAsia="Candara" w:hAnsi="Montserrat" w:cs="Candara"/>
                <w:sz w:val="20"/>
                <w:szCs w:val="20"/>
              </w:rPr>
              <w:t>l día 25 de junio de</w:t>
            </w:r>
            <w:r w:rsidR="005369CF">
              <w:rPr>
                <w:rFonts w:ascii="Montserrat" w:eastAsia="Candara" w:hAnsi="Montserrat" w:cs="Candara"/>
                <w:sz w:val="20"/>
                <w:szCs w:val="20"/>
              </w:rPr>
              <w:t xml:space="preserve"> 2021</w:t>
            </w:r>
            <w:r w:rsidR="009A429E">
              <w:rPr>
                <w:rFonts w:ascii="Montserrat" w:eastAsia="Candara" w:hAnsi="Montserrat" w:cs="Candara"/>
                <w:sz w:val="20"/>
                <w:szCs w:val="20"/>
              </w:rPr>
              <w:t xml:space="preserve">, se llevó </w:t>
            </w:r>
            <w:r w:rsidR="00E44880">
              <w:rPr>
                <w:rFonts w:ascii="Montserrat" w:eastAsia="Candara" w:hAnsi="Montserrat" w:cs="Candara"/>
                <w:sz w:val="20"/>
                <w:szCs w:val="20"/>
              </w:rPr>
              <w:t xml:space="preserve">a cabo </w:t>
            </w:r>
            <w:r w:rsidR="00E82FAB">
              <w:rPr>
                <w:rFonts w:ascii="Montserrat" w:eastAsia="Candara" w:hAnsi="Montserrat" w:cs="Candara"/>
                <w:sz w:val="20"/>
                <w:szCs w:val="20"/>
              </w:rPr>
              <w:t xml:space="preserve">la </w:t>
            </w:r>
            <w:r w:rsidR="002846A0">
              <w:rPr>
                <w:rFonts w:ascii="Montserrat" w:eastAsia="Candara" w:hAnsi="Montserrat" w:cs="Candara"/>
                <w:sz w:val="20"/>
                <w:szCs w:val="20"/>
              </w:rPr>
              <w:t>F</w:t>
            </w:r>
            <w:r w:rsidR="00E82FAB">
              <w:rPr>
                <w:rFonts w:ascii="Montserrat" w:eastAsia="Candara" w:hAnsi="Montserrat" w:cs="Candara"/>
                <w:sz w:val="20"/>
                <w:szCs w:val="20"/>
              </w:rPr>
              <w:t>irma de Convenio de</w:t>
            </w:r>
            <w:r w:rsidR="00E44880">
              <w:rPr>
                <w:rFonts w:ascii="Montserrat" w:eastAsia="Candara" w:hAnsi="Montserrat" w:cs="Candara"/>
                <w:sz w:val="20"/>
                <w:szCs w:val="20"/>
              </w:rPr>
              <w:t xml:space="preserve"> </w:t>
            </w:r>
            <w:r w:rsidR="004923A0">
              <w:rPr>
                <w:rFonts w:ascii="Montserrat" w:eastAsia="Candara" w:hAnsi="Montserrat" w:cs="Candara"/>
                <w:sz w:val="20"/>
                <w:szCs w:val="20"/>
              </w:rPr>
              <w:t>E</w:t>
            </w:r>
            <w:r w:rsidR="00E44880">
              <w:rPr>
                <w:rFonts w:ascii="Montserrat" w:eastAsia="Candara" w:hAnsi="Montserrat" w:cs="Candara"/>
                <w:sz w:val="20"/>
                <w:szCs w:val="20"/>
              </w:rPr>
              <w:t xml:space="preserve">xtinción del Fideicomiso denominado </w:t>
            </w:r>
            <w:r w:rsidR="00E44880" w:rsidRPr="009A429E">
              <w:rPr>
                <w:rFonts w:ascii="Montserrat" w:eastAsia="Candara" w:hAnsi="Montserrat" w:cs="Candara"/>
                <w:b/>
                <w:bCs/>
                <w:sz w:val="20"/>
                <w:szCs w:val="20"/>
              </w:rPr>
              <w:t xml:space="preserve">“Fondo de Investigación Científica y Desarrollo Tecnológico de </w:t>
            </w:r>
            <w:r w:rsidR="005369CF">
              <w:rPr>
                <w:rFonts w:ascii="Montserrat" w:eastAsia="Candara" w:hAnsi="Montserrat" w:cs="Candara"/>
                <w:b/>
                <w:bCs/>
                <w:sz w:val="20"/>
                <w:szCs w:val="20"/>
              </w:rPr>
              <w:t>El Colegio de la Frontera Sur</w:t>
            </w:r>
            <w:r w:rsidR="00566D21">
              <w:rPr>
                <w:rFonts w:ascii="Montserrat" w:eastAsia="Candara" w:hAnsi="Montserrat" w:cs="Candara"/>
                <w:b/>
                <w:bCs/>
                <w:sz w:val="20"/>
                <w:szCs w:val="20"/>
              </w:rPr>
              <w:t xml:space="preserve">” (FID-784), </w:t>
            </w:r>
            <w:r w:rsidR="00566D21" w:rsidRPr="00566D21">
              <w:rPr>
                <w:rFonts w:ascii="Montserrat" w:eastAsia="Candara" w:hAnsi="Montserrat" w:cs="Candara"/>
                <w:bCs/>
                <w:sz w:val="20"/>
                <w:szCs w:val="20"/>
              </w:rPr>
              <w:t>entre el Fiduciario Actinver Casa de Bolsa, S.A. de C.V. y el Fideicomitente y Fideicomisario El Colegio de la Frontera Sur.</w:t>
            </w:r>
            <w:r w:rsidR="00566D21">
              <w:rPr>
                <w:rFonts w:ascii="Montserrat" w:eastAsia="Candara" w:hAnsi="Montserrat" w:cs="Candara"/>
                <w:bCs/>
                <w:sz w:val="20"/>
                <w:szCs w:val="20"/>
              </w:rPr>
              <w:t xml:space="preserve"> </w:t>
            </w:r>
            <w:r>
              <w:rPr>
                <w:rFonts w:ascii="Montserrat" w:eastAsia="Candara" w:hAnsi="Montserrat" w:cs="Candara"/>
                <w:bCs/>
                <w:sz w:val="20"/>
                <w:szCs w:val="20"/>
              </w:rPr>
              <w:t>Asimismo</w:t>
            </w:r>
            <w:r w:rsidR="00566D21">
              <w:rPr>
                <w:rFonts w:ascii="Montserrat" w:eastAsia="Candara" w:hAnsi="Montserrat" w:cs="Candara"/>
                <w:bCs/>
                <w:sz w:val="20"/>
                <w:szCs w:val="20"/>
              </w:rPr>
              <w:t>, el día 28 de junio del presente año, el Fiduciario Actinver Casa de Bolsa, S.A. de C.V. realiz</w:t>
            </w:r>
            <w:r w:rsidR="00366970">
              <w:rPr>
                <w:rFonts w:ascii="Montserrat" w:eastAsia="Candara" w:hAnsi="Montserrat" w:cs="Candara"/>
                <w:bCs/>
                <w:sz w:val="20"/>
                <w:szCs w:val="20"/>
              </w:rPr>
              <w:t>ó</w:t>
            </w:r>
            <w:r w:rsidR="00566D21">
              <w:rPr>
                <w:rFonts w:ascii="Montserrat" w:eastAsia="Candara" w:hAnsi="Montserrat" w:cs="Candara"/>
                <w:bCs/>
                <w:sz w:val="20"/>
                <w:szCs w:val="20"/>
              </w:rPr>
              <w:t xml:space="preserve"> la transferencia de los recursos disponibles del Fideicomiso </w:t>
            </w:r>
            <w:r w:rsidR="00566D21">
              <w:rPr>
                <w:rFonts w:ascii="Montserrat" w:eastAsia="Candara" w:hAnsi="Montserrat" w:cs="Candara"/>
                <w:bCs/>
                <w:sz w:val="20"/>
                <w:szCs w:val="20"/>
              </w:rPr>
              <w:lastRenderedPageBreak/>
              <w:t xml:space="preserve">denominado: </w:t>
            </w:r>
            <w:r w:rsidR="00566D21" w:rsidRPr="009A429E">
              <w:rPr>
                <w:rFonts w:ascii="Montserrat" w:eastAsia="Candara" w:hAnsi="Montserrat" w:cs="Candara"/>
                <w:b/>
                <w:bCs/>
                <w:sz w:val="20"/>
                <w:szCs w:val="20"/>
              </w:rPr>
              <w:t xml:space="preserve">“Fondo de Investigación Científica y Desarrollo Tecnológico de </w:t>
            </w:r>
            <w:r w:rsidR="00566D21">
              <w:rPr>
                <w:rFonts w:ascii="Montserrat" w:eastAsia="Candara" w:hAnsi="Montserrat" w:cs="Candara"/>
                <w:b/>
                <w:bCs/>
                <w:sz w:val="20"/>
                <w:szCs w:val="20"/>
              </w:rPr>
              <w:t>El Colegio de la Frontera Sur” (FID-784),</w:t>
            </w:r>
            <w:r w:rsidR="004F513C">
              <w:rPr>
                <w:rFonts w:ascii="Montserrat" w:eastAsia="Candara" w:hAnsi="Montserrat" w:cs="Candara"/>
                <w:b/>
                <w:bCs/>
                <w:sz w:val="20"/>
                <w:szCs w:val="20"/>
              </w:rPr>
              <w:t xml:space="preserve"> </w:t>
            </w:r>
            <w:r w:rsidR="004F513C" w:rsidRPr="004F513C">
              <w:rPr>
                <w:rFonts w:ascii="Montserrat" w:eastAsia="Candara" w:hAnsi="Montserrat" w:cs="Candara"/>
                <w:bCs/>
                <w:sz w:val="20"/>
                <w:szCs w:val="20"/>
              </w:rPr>
              <w:t>a la cuenta bancaria de la Tesorería de El Colegio de la Frontera Sur.</w:t>
            </w:r>
          </w:p>
          <w:p w14:paraId="233E5261" w14:textId="0B128B98" w:rsidR="004F513C" w:rsidRPr="00140AA7" w:rsidRDefault="004F513C" w:rsidP="00566D21">
            <w:pPr>
              <w:spacing w:after="0" w:line="240" w:lineRule="auto"/>
              <w:ind w:right="114"/>
              <w:jc w:val="both"/>
              <w:rPr>
                <w:rFonts w:ascii="Montserrat" w:eastAsia="Candara" w:hAnsi="Montserrat" w:cs="Candar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EB1E51" w14:textId="51D9B9BB" w:rsidR="001A23D5" w:rsidRPr="00140AA7" w:rsidRDefault="00574AD9" w:rsidP="00566D21">
            <w:pPr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>10</w:t>
            </w:r>
            <w:r w:rsidR="00D861BD">
              <w:rPr>
                <w:rFonts w:ascii="Montserrat" w:hAnsi="Montserrat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5EF6E36A" w14:textId="36381DD8" w:rsidR="001A23D5" w:rsidRPr="00140AA7" w:rsidRDefault="001A23D5" w:rsidP="009A429E">
            <w:pPr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30/06/2021</w:t>
            </w:r>
          </w:p>
        </w:tc>
        <w:tc>
          <w:tcPr>
            <w:tcW w:w="2126" w:type="dxa"/>
          </w:tcPr>
          <w:p w14:paraId="407F391E" w14:textId="28B72E2D" w:rsidR="001A23D5" w:rsidRPr="00140AA7" w:rsidRDefault="001A23D5" w:rsidP="001A23D5">
            <w:pPr>
              <w:spacing w:after="0" w:line="240" w:lineRule="auto"/>
              <w:rPr>
                <w:rFonts w:ascii="Montserrat" w:eastAsia="Candara" w:hAnsi="Montserrat" w:cs="Candara"/>
                <w:sz w:val="20"/>
                <w:szCs w:val="20"/>
              </w:rPr>
            </w:pPr>
          </w:p>
        </w:tc>
      </w:tr>
    </w:tbl>
    <w:p w14:paraId="2B647D8B" w14:textId="47CBE62E" w:rsidR="003B2B76" w:rsidRDefault="003B2B76" w:rsidP="0092365B">
      <w:pPr>
        <w:spacing w:line="240" w:lineRule="auto"/>
        <w:rPr>
          <w:rFonts w:ascii="Montserrat" w:hAnsi="Montserrat"/>
        </w:rPr>
      </w:pPr>
    </w:p>
    <w:p w14:paraId="69CB5024" w14:textId="18BFDEEA" w:rsidR="00BC504E" w:rsidRPr="009A429E" w:rsidRDefault="00BC504E" w:rsidP="009A429E">
      <w:pPr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>Se adjuntan:</w:t>
      </w:r>
    </w:p>
    <w:p w14:paraId="44CC25F8" w14:textId="13D77A4C" w:rsidR="00BC504E" w:rsidRDefault="00574AD9" w:rsidP="00574AD9">
      <w:pPr>
        <w:pStyle w:val="Prrafodelista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Convenio de Extinción del Fideicomiso</w:t>
      </w:r>
      <w:r w:rsidR="009A429E">
        <w:rPr>
          <w:rFonts w:ascii="Montserrat" w:hAnsi="Montserrat"/>
        </w:rPr>
        <w:t>.</w:t>
      </w:r>
    </w:p>
    <w:p w14:paraId="0058E202" w14:textId="4F78D54C" w:rsidR="00574AD9" w:rsidRDefault="00574AD9" w:rsidP="00574AD9">
      <w:pPr>
        <w:pStyle w:val="Prrafodelista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Com</w:t>
      </w:r>
      <w:r w:rsidR="00CA7DD3">
        <w:rPr>
          <w:rFonts w:ascii="Montserrat" w:hAnsi="Montserrat"/>
        </w:rPr>
        <w:t>probante de Transferencia.</w:t>
      </w:r>
    </w:p>
    <w:p w14:paraId="3D8C7FDA" w14:textId="3621FB2A" w:rsidR="00574AD9" w:rsidRPr="00574AD9" w:rsidRDefault="00574AD9" w:rsidP="00574AD9">
      <w:pPr>
        <w:pStyle w:val="Prrafodelista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Estado de Cuenta del Fideicomiso</w:t>
      </w:r>
      <w:r w:rsidR="009A429E">
        <w:rPr>
          <w:rFonts w:ascii="Montserrat" w:hAnsi="Montserrat"/>
        </w:rPr>
        <w:t>.</w:t>
      </w:r>
    </w:p>
    <w:sectPr w:rsidR="00574AD9" w:rsidRPr="00574AD9" w:rsidSect="00804D5E">
      <w:headerReference w:type="default" r:id="rId7"/>
      <w:footerReference w:type="default" r:id="rId8"/>
      <w:pgSz w:w="15840" w:h="12240" w:orient="landscape"/>
      <w:pgMar w:top="1440" w:right="1080" w:bottom="1440" w:left="1080" w:header="708" w:footer="2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E1E87" w14:textId="77777777" w:rsidR="00F73D59" w:rsidRDefault="00F73D59" w:rsidP="00EE3A92">
      <w:pPr>
        <w:spacing w:after="0" w:line="240" w:lineRule="auto"/>
      </w:pPr>
      <w:r>
        <w:separator/>
      </w:r>
    </w:p>
  </w:endnote>
  <w:endnote w:type="continuationSeparator" w:id="0">
    <w:p w14:paraId="2C14D093" w14:textId="77777777" w:rsidR="00F73D59" w:rsidRDefault="00F73D59" w:rsidP="00EE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621464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AE44AF6" w14:textId="0D9F4374" w:rsidR="00804D5E" w:rsidRDefault="00804D5E">
        <w:pPr>
          <w:pStyle w:val="Piedepgina"/>
          <w:jc w:val="center"/>
        </w:pPr>
        <w:r>
          <w:rPr>
            <w:noProof/>
            <w:lang w:eastAsia="es-MX"/>
          </w:rPr>
          <w:drawing>
            <wp:anchor distT="0" distB="0" distL="114300" distR="114300" simplePos="0" relativeHeight="251663360" behindDoc="0" locked="0" layoutInCell="1" allowOverlap="1" wp14:anchorId="7A4C233C" wp14:editId="03841A45">
              <wp:simplePos x="0" y="0"/>
              <wp:positionH relativeFrom="margin">
                <wp:posOffset>-133350</wp:posOffset>
              </wp:positionH>
              <wp:positionV relativeFrom="paragraph">
                <wp:posOffset>67310</wp:posOffset>
              </wp:positionV>
              <wp:extent cx="9105900" cy="1601355"/>
              <wp:effectExtent l="0" t="0" r="0" b="0"/>
              <wp:wrapNone/>
              <wp:docPr id="58" name="Imagen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39148" cy="160720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93BCD2A" w14:textId="7AFB169B" w:rsidR="0092365B" w:rsidRPr="0092365B" w:rsidRDefault="0092365B">
        <w:pPr>
          <w:pStyle w:val="Piedepgina"/>
          <w:jc w:val="center"/>
          <w:rPr>
            <w:rFonts w:ascii="Montserrat" w:hAnsi="Montserrat"/>
          </w:rPr>
        </w:pPr>
        <w:r w:rsidRPr="0092365B">
          <w:rPr>
            <w:rFonts w:ascii="Montserrat" w:hAnsi="Montserrat"/>
          </w:rPr>
          <w:fldChar w:fldCharType="begin"/>
        </w:r>
        <w:r w:rsidRPr="0092365B">
          <w:rPr>
            <w:rFonts w:ascii="Montserrat" w:hAnsi="Montserrat"/>
          </w:rPr>
          <w:instrText>PAGE   \* MERGEFORMAT</w:instrText>
        </w:r>
        <w:r w:rsidRPr="0092365B">
          <w:rPr>
            <w:rFonts w:ascii="Montserrat" w:hAnsi="Montserrat"/>
          </w:rPr>
          <w:fldChar w:fldCharType="separate"/>
        </w:r>
        <w:r w:rsidR="00EA6678" w:rsidRPr="00EA6678">
          <w:rPr>
            <w:rFonts w:ascii="Montserrat" w:hAnsi="Montserrat"/>
            <w:noProof/>
            <w:lang w:val="es-ES"/>
          </w:rPr>
          <w:t>1</w:t>
        </w:r>
        <w:r w:rsidRPr="0092365B">
          <w:rPr>
            <w:rFonts w:ascii="Montserrat" w:hAnsi="Montserrat"/>
          </w:rPr>
          <w:fldChar w:fldCharType="end"/>
        </w:r>
      </w:p>
    </w:sdtContent>
  </w:sdt>
  <w:p w14:paraId="2444D0AE" w14:textId="66A59D20" w:rsidR="0053196D" w:rsidRDefault="00531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FEB02" w14:textId="77777777" w:rsidR="00F73D59" w:rsidRDefault="00F73D59" w:rsidP="00EE3A92">
      <w:pPr>
        <w:spacing w:after="0" w:line="240" w:lineRule="auto"/>
      </w:pPr>
      <w:r>
        <w:separator/>
      </w:r>
    </w:p>
  </w:footnote>
  <w:footnote w:type="continuationSeparator" w:id="0">
    <w:p w14:paraId="1EA0F0F3" w14:textId="77777777" w:rsidR="00F73D59" w:rsidRDefault="00F73D59" w:rsidP="00EE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3C0FF" w14:textId="0D2672FB" w:rsidR="00235FD1" w:rsidRPr="00235FD1" w:rsidRDefault="003149D7" w:rsidP="003149D7">
    <w:pPr>
      <w:spacing w:after="0"/>
      <w:ind w:left="2977" w:right="3615"/>
      <w:rPr>
        <w:rFonts w:ascii="Montserrat" w:hAnsi="Montserrat"/>
        <w:b/>
        <w:bCs/>
      </w:rPr>
    </w:pPr>
    <w:bookmarkStart w:id="0" w:name="_Hlk53674418"/>
    <w:r>
      <w:rPr>
        <w:rFonts w:ascii="Montserrat" w:hAnsi="Montserrat"/>
        <w:b/>
        <w:bCs/>
        <w:noProof/>
        <w:lang w:eastAsia="es-MX"/>
      </w:rPr>
      <w:drawing>
        <wp:anchor distT="0" distB="0" distL="114300" distR="114300" simplePos="0" relativeHeight="251664384" behindDoc="0" locked="0" layoutInCell="1" allowOverlap="1" wp14:anchorId="0DA4ED32" wp14:editId="577D913A">
          <wp:simplePos x="0" y="0"/>
          <wp:positionH relativeFrom="column">
            <wp:posOffset>276308</wp:posOffset>
          </wp:positionH>
          <wp:positionV relativeFrom="paragraph">
            <wp:posOffset>-75869</wp:posOffset>
          </wp:positionV>
          <wp:extent cx="2166924" cy="650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984" cy="655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D5E" w:rsidRPr="00235FD1">
      <w:rPr>
        <w:rFonts w:ascii="Montserrat" w:hAnsi="Montserrat"/>
        <w:b/>
        <w:bCs/>
        <w:noProof/>
        <w:lang w:eastAsia="es-MX"/>
      </w:rPr>
      <w:drawing>
        <wp:anchor distT="0" distB="0" distL="114300" distR="114300" simplePos="0" relativeHeight="251660288" behindDoc="0" locked="0" layoutInCell="1" allowOverlap="1" wp14:anchorId="1025BF6A" wp14:editId="21766AED">
          <wp:simplePos x="0" y="0"/>
          <wp:positionH relativeFrom="margin">
            <wp:posOffset>6551930</wp:posOffset>
          </wp:positionH>
          <wp:positionV relativeFrom="paragraph">
            <wp:posOffset>82550</wp:posOffset>
          </wp:positionV>
          <wp:extent cx="1222429" cy="376772"/>
          <wp:effectExtent l="0" t="0" r="0" b="4445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429" cy="37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D5E" w:rsidRPr="00235FD1">
      <w:rPr>
        <w:rFonts w:ascii="Montserrat" w:hAnsi="Montserrat"/>
        <w:b/>
        <w:bCs/>
        <w:noProof/>
        <w:lang w:eastAsia="es-MX"/>
      </w:rPr>
      <w:drawing>
        <wp:anchor distT="0" distB="0" distL="114300" distR="114300" simplePos="0" relativeHeight="251661312" behindDoc="0" locked="0" layoutInCell="1" allowOverlap="1" wp14:anchorId="3FD447A8" wp14:editId="45343B2D">
          <wp:simplePos x="0" y="0"/>
          <wp:positionH relativeFrom="column">
            <wp:posOffset>7964170</wp:posOffset>
          </wp:positionH>
          <wp:positionV relativeFrom="paragraph">
            <wp:posOffset>5715</wp:posOffset>
          </wp:positionV>
          <wp:extent cx="469127" cy="527067"/>
          <wp:effectExtent l="0" t="0" r="7620" b="635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127" cy="527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D5E">
      <w:rPr>
        <w:rFonts w:ascii="Montserrat" w:hAnsi="Montserrat"/>
        <w:b/>
        <w:bCs/>
      </w:rPr>
      <w:t xml:space="preserve">                    </w:t>
    </w:r>
    <w:r w:rsidR="00235FD1" w:rsidRPr="00235FD1">
      <w:rPr>
        <w:rFonts w:ascii="Montserrat" w:hAnsi="Montserrat"/>
        <w:b/>
        <w:bCs/>
      </w:rPr>
      <w:t>Comité de Control y Desempeño Institucional</w:t>
    </w:r>
  </w:p>
  <w:p w14:paraId="6C8FB0EE" w14:textId="09794A5C" w:rsidR="00235FD1" w:rsidRPr="00235FD1" w:rsidRDefault="00804D5E" w:rsidP="003149D7">
    <w:pPr>
      <w:spacing w:after="0"/>
      <w:ind w:left="3261" w:right="5175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 xml:space="preserve">                             </w:t>
    </w:r>
    <w:r w:rsidR="00235FD1" w:rsidRPr="00235FD1">
      <w:rPr>
        <w:rFonts w:ascii="Montserrat" w:hAnsi="Montserrat"/>
        <w:b/>
        <w:bCs/>
      </w:rPr>
      <w:t>El Colegio de la Frontera Sur</w:t>
    </w:r>
  </w:p>
  <w:p w14:paraId="5F839771" w14:textId="317CA3FE" w:rsidR="00235FD1" w:rsidRPr="00235FD1" w:rsidRDefault="00804D5E" w:rsidP="003149D7">
    <w:pPr>
      <w:spacing w:after="160" w:line="259" w:lineRule="auto"/>
      <w:ind w:left="3261" w:right="5175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 xml:space="preserve">                          </w:t>
    </w:r>
    <w:r w:rsidR="00574AD9">
      <w:rPr>
        <w:rFonts w:ascii="Montserrat" w:hAnsi="Montserrat"/>
        <w:b/>
        <w:bCs/>
      </w:rPr>
      <w:t>Tercera</w:t>
    </w:r>
    <w:r w:rsidR="00235FD1" w:rsidRPr="00235FD1">
      <w:rPr>
        <w:rFonts w:ascii="Montserrat" w:hAnsi="Montserrat"/>
        <w:b/>
        <w:bCs/>
      </w:rPr>
      <w:t xml:space="preserve"> Sesión Ordinaria 202</w:t>
    </w:r>
    <w:r>
      <w:rPr>
        <w:rFonts w:ascii="Montserrat" w:hAnsi="Montserrat"/>
        <w:b/>
        <w:bCs/>
      </w:rPr>
      <w:t xml:space="preserve">1                               </w:t>
    </w:r>
  </w:p>
  <w:bookmarkEnd w:id="0"/>
  <w:p w14:paraId="0256CD92" w14:textId="2FC956F2" w:rsidR="00EE3A92" w:rsidRDefault="00EE3A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914"/>
    <w:multiLevelType w:val="hybridMultilevel"/>
    <w:tmpl w:val="1DF237E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46D2"/>
    <w:multiLevelType w:val="hybridMultilevel"/>
    <w:tmpl w:val="B3C892BC"/>
    <w:lvl w:ilvl="0" w:tplc="080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1EA091B"/>
    <w:multiLevelType w:val="hybridMultilevel"/>
    <w:tmpl w:val="20360F6E"/>
    <w:lvl w:ilvl="0" w:tplc="3188823E">
      <w:start w:val="3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6D6D"/>
    <w:multiLevelType w:val="hybridMultilevel"/>
    <w:tmpl w:val="5F0E2E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50B7"/>
    <w:multiLevelType w:val="hybridMultilevel"/>
    <w:tmpl w:val="7DC0B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218F1"/>
    <w:multiLevelType w:val="hybridMultilevel"/>
    <w:tmpl w:val="317E3BC0"/>
    <w:lvl w:ilvl="0" w:tplc="90AA49B2">
      <w:start w:val="1"/>
      <w:numFmt w:val="decimal"/>
      <w:lvlText w:val="%1."/>
      <w:lvlJc w:val="left"/>
      <w:pPr>
        <w:ind w:left="1573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249" w:hanging="360"/>
      </w:pPr>
    </w:lvl>
    <w:lvl w:ilvl="2" w:tplc="080A001B" w:tentative="1">
      <w:start w:val="1"/>
      <w:numFmt w:val="lowerRoman"/>
      <w:lvlText w:val="%3."/>
      <w:lvlJc w:val="right"/>
      <w:pPr>
        <w:ind w:left="2969" w:hanging="180"/>
      </w:pPr>
    </w:lvl>
    <w:lvl w:ilvl="3" w:tplc="080A000F" w:tentative="1">
      <w:start w:val="1"/>
      <w:numFmt w:val="decimal"/>
      <w:lvlText w:val="%4."/>
      <w:lvlJc w:val="left"/>
      <w:pPr>
        <w:ind w:left="3689" w:hanging="360"/>
      </w:pPr>
    </w:lvl>
    <w:lvl w:ilvl="4" w:tplc="080A0019" w:tentative="1">
      <w:start w:val="1"/>
      <w:numFmt w:val="lowerLetter"/>
      <w:lvlText w:val="%5."/>
      <w:lvlJc w:val="left"/>
      <w:pPr>
        <w:ind w:left="4409" w:hanging="360"/>
      </w:pPr>
    </w:lvl>
    <w:lvl w:ilvl="5" w:tplc="080A001B" w:tentative="1">
      <w:start w:val="1"/>
      <w:numFmt w:val="lowerRoman"/>
      <w:lvlText w:val="%6."/>
      <w:lvlJc w:val="right"/>
      <w:pPr>
        <w:ind w:left="5129" w:hanging="180"/>
      </w:pPr>
    </w:lvl>
    <w:lvl w:ilvl="6" w:tplc="080A000F" w:tentative="1">
      <w:start w:val="1"/>
      <w:numFmt w:val="decimal"/>
      <w:lvlText w:val="%7."/>
      <w:lvlJc w:val="left"/>
      <w:pPr>
        <w:ind w:left="5849" w:hanging="360"/>
      </w:pPr>
    </w:lvl>
    <w:lvl w:ilvl="7" w:tplc="080A0019" w:tentative="1">
      <w:start w:val="1"/>
      <w:numFmt w:val="lowerLetter"/>
      <w:lvlText w:val="%8."/>
      <w:lvlJc w:val="left"/>
      <w:pPr>
        <w:ind w:left="6569" w:hanging="360"/>
      </w:pPr>
    </w:lvl>
    <w:lvl w:ilvl="8" w:tplc="080A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6" w15:restartNumberingAfterBreak="0">
    <w:nsid w:val="6F031AF7"/>
    <w:multiLevelType w:val="hybridMultilevel"/>
    <w:tmpl w:val="B61E175C"/>
    <w:lvl w:ilvl="0" w:tplc="391C6ED8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E70C7"/>
    <w:multiLevelType w:val="hybridMultilevel"/>
    <w:tmpl w:val="A4F26FE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92"/>
    <w:rsid w:val="00031B2D"/>
    <w:rsid w:val="000B4455"/>
    <w:rsid w:val="000D5782"/>
    <w:rsid w:val="0010490C"/>
    <w:rsid w:val="00123A4A"/>
    <w:rsid w:val="001257F8"/>
    <w:rsid w:val="00140AA7"/>
    <w:rsid w:val="00150E6B"/>
    <w:rsid w:val="00151542"/>
    <w:rsid w:val="001646C1"/>
    <w:rsid w:val="00165204"/>
    <w:rsid w:val="0018186A"/>
    <w:rsid w:val="001A23D5"/>
    <w:rsid w:val="001C0143"/>
    <w:rsid w:val="001D2B22"/>
    <w:rsid w:val="001E114F"/>
    <w:rsid w:val="001F2EC1"/>
    <w:rsid w:val="00221A96"/>
    <w:rsid w:val="00235FD1"/>
    <w:rsid w:val="00250124"/>
    <w:rsid w:val="00262F2A"/>
    <w:rsid w:val="002846A0"/>
    <w:rsid w:val="00285398"/>
    <w:rsid w:val="002B1822"/>
    <w:rsid w:val="002D2E56"/>
    <w:rsid w:val="002E122A"/>
    <w:rsid w:val="002F0183"/>
    <w:rsid w:val="002F659E"/>
    <w:rsid w:val="003149D7"/>
    <w:rsid w:val="00320301"/>
    <w:rsid w:val="00363768"/>
    <w:rsid w:val="00366970"/>
    <w:rsid w:val="0037260A"/>
    <w:rsid w:val="00383204"/>
    <w:rsid w:val="00395F03"/>
    <w:rsid w:val="003B2B76"/>
    <w:rsid w:val="003B2F18"/>
    <w:rsid w:val="003E4D4F"/>
    <w:rsid w:val="004029EA"/>
    <w:rsid w:val="0041381D"/>
    <w:rsid w:val="00422EE2"/>
    <w:rsid w:val="0046499A"/>
    <w:rsid w:val="004745E4"/>
    <w:rsid w:val="00481A25"/>
    <w:rsid w:val="004923A0"/>
    <w:rsid w:val="004A6B85"/>
    <w:rsid w:val="004A7EA5"/>
    <w:rsid w:val="004B7CF3"/>
    <w:rsid w:val="004D2A3D"/>
    <w:rsid w:val="004F513C"/>
    <w:rsid w:val="00505A19"/>
    <w:rsid w:val="0053196D"/>
    <w:rsid w:val="005369CF"/>
    <w:rsid w:val="005636B7"/>
    <w:rsid w:val="00566D21"/>
    <w:rsid w:val="0056789B"/>
    <w:rsid w:val="00574AD9"/>
    <w:rsid w:val="00593986"/>
    <w:rsid w:val="005B2C6D"/>
    <w:rsid w:val="005D0BB7"/>
    <w:rsid w:val="005E2EBD"/>
    <w:rsid w:val="005F1159"/>
    <w:rsid w:val="00685AD0"/>
    <w:rsid w:val="00694730"/>
    <w:rsid w:val="006C049E"/>
    <w:rsid w:val="006D63FA"/>
    <w:rsid w:val="006E58E8"/>
    <w:rsid w:val="007038E0"/>
    <w:rsid w:val="00704865"/>
    <w:rsid w:val="00717AAF"/>
    <w:rsid w:val="007559AB"/>
    <w:rsid w:val="00756C5F"/>
    <w:rsid w:val="007914D9"/>
    <w:rsid w:val="007B64B3"/>
    <w:rsid w:val="007E12DE"/>
    <w:rsid w:val="007E5723"/>
    <w:rsid w:val="00800F26"/>
    <w:rsid w:val="00804D5E"/>
    <w:rsid w:val="00836CCF"/>
    <w:rsid w:val="0089236C"/>
    <w:rsid w:val="008E781C"/>
    <w:rsid w:val="008F32C5"/>
    <w:rsid w:val="008F6A3B"/>
    <w:rsid w:val="0090240C"/>
    <w:rsid w:val="0092365B"/>
    <w:rsid w:val="00934FA8"/>
    <w:rsid w:val="00966885"/>
    <w:rsid w:val="00974567"/>
    <w:rsid w:val="00977346"/>
    <w:rsid w:val="00977DAF"/>
    <w:rsid w:val="009930AA"/>
    <w:rsid w:val="00993DC9"/>
    <w:rsid w:val="009A429E"/>
    <w:rsid w:val="009C083F"/>
    <w:rsid w:val="00A05C17"/>
    <w:rsid w:val="00A40EB0"/>
    <w:rsid w:val="00A4169E"/>
    <w:rsid w:val="00A644B3"/>
    <w:rsid w:val="00A77AD2"/>
    <w:rsid w:val="00A81726"/>
    <w:rsid w:val="00B049FF"/>
    <w:rsid w:val="00B10E57"/>
    <w:rsid w:val="00B63283"/>
    <w:rsid w:val="00BA0A40"/>
    <w:rsid w:val="00BA1640"/>
    <w:rsid w:val="00BC504E"/>
    <w:rsid w:val="00C0784D"/>
    <w:rsid w:val="00C13EEB"/>
    <w:rsid w:val="00C50513"/>
    <w:rsid w:val="00C70AD5"/>
    <w:rsid w:val="00C77F88"/>
    <w:rsid w:val="00C85BC8"/>
    <w:rsid w:val="00CA7DD3"/>
    <w:rsid w:val="00CB46FE"/>
    <w:rsid w:val="00CB4FAF"/>
    <w:rsid w:val="00CB7FA2"/>
    <w:rsid w:val="00CD4D1D"/>
    <w:rsid w:val="00D20200"/>
    <w:rsid w:val="00D268D4"/>
    <w:rsid w:val="00D3175B"/>
    <w:rsid w:val="00D344DE"/>
    <w:rsid w:val="00D665FF"/>
    <w:rsid w:val="00D81EB8"/>
    <w:rsid w:val="00D861BD"/>
    <w:rsid w:val="00D91344"/>
    <w:rsid w:val="00D97B84"/>
    <w:rsid w:val="00DA478D"/>
    <w:rsid w:val="00DF3E0B"/>
    <w:rsid w:val="00E04F3E"/>
    <w:rsid w:val="00E302D2"/>
    <w:rsid w:val="00E44880"/>
    <w:rsid w:val="00E56F70"/>
    <w:rsid w:val="00E6274B"/>
    <w:rsid w:val="00E77226"/>
    <w:rsid w:val="00E82FAB"/>
    <w:rsid w:val="00EA6678"/>
    <w:rsid w:val="00ED4F5C"/>
    <w:rsid w:val="00EE3A92"/>
    <w:rsid w:val="00F125CF"/>
    <w:rsid w:val="00F22014"/>
    <w:rsid w:val="00F327CA"/>
    <w:rsid w:val="00F342A3"/>
    <w:rsid w:val="00F44A5C"/>
    <w:rsid w:val="00F7234D"/>
    <w:rsid w:val="00F73D59"/>
    <w:rsid w:val="00F92D83"/>
    <w:rsid w:val="00F96953"/>
    <w:rsid w:val="00FA60ED"/>
    <w:rsid w:val="00FB3102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0B6C4"/>
  <w15:docId w15:val="{9FC4E9AC-EFDC-4695-872A-37FE70FB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92"/>
    <w:pPr>
      <w:spacing w:after="12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A92"/>
  </w:style>
  <w:style w:type="paragraph" w:styleId="Piedepgina">
    <w:name w:val="footer"/>
    <w:basedOn w:val="Normal"/>
    <w:link w:val="PiedepginaCar"/>
    <w:uiPriority w:val="99"/>
    <w:unhideWhenUsed/>
    <w:rsid w:val="00EE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A92"/>
  </w:style>
  <w:style w:type="table" w:styleId="Tablaconcuadrcula">
    <w:name w:val="Table Grid"/>
    <w:basedOn w:val="Tablanormal"/>
    <w:uiPriority w:val="39"/>
    <w:rsid w:val="00EE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2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02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</dc:creator>
  <cp:keywords/>
  <dc:description/>
  <cp:lastModifiedBy>Claudia</cp:lastModifiedBy>
  <cp:revision>2</cp:revision>
  <cp:lastPrinted>2020-08-06T15:20:00Z</cp:lastPrinted>
  <dcterms:created xsi:type="dcterms:W3CDTF">2021-07-15T21:39:00Z</dcterms:created>
  <dcterms:modified xsi:type="dcterms:W3CDTF">2021-07-15T21:39:00Z</dcterms:modified>
</cp:coreProperties>
</file>