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B7B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41890898" w14:textId="43E8FA9B" w:rsidR="00DE53E8" w:rsidRDefault="00385295" w:rsidP="00A328C8">
      <w:pPr>
        <w:jc w:val="both"/>
        <w:rPr>
          <w:rFonts w:ascii="Montserrat" w:hAnsi="Montserrat" w:cs="Arial"/>
          <w:b/>
          <w:sz w:val="28"/>
          <w:szCs w:val="28"/>
        </w:rPr>
      </w:pPr>
      <w:r w:rsidRPr="00A328C8">
        <w:rPr>
          <w:rFonts w:ascii="Montserrat" w:hAnsi="Montserrat" w:cs="Arial"/>
          <w:b/>
          <w:sz w:val="28"/>
          <w:szCs w:val="28"/>
        </w:rPr>
        <w:t xml:space="preserve">XIV. </w:t>
      </w:r>
      <w:r w:rsidR="00A00FAD">
        <w:rPr>
          <w:rFonts w:ascii="Montserrat" w:hAnsi="Montserrat" w:cs="Arial"/>
          <w:b/>
          <w:sz w:val="28"/>
          <w:szCs w:val="28"/>
        </w:rPr>
        <w:t>ASUNTOS GENERALES</w:t>
      </w:r>
    </w:p>
    <w:p w14:paraId="517E46B5" w14:textId="041C0218" w:rsidR="00A328C8" w:rsidRPr="006E517B" w:rsidRDefault="00A328C8" w:rsidP="00A328C8">
      <w:pPr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es-MX"/>
        </w:rPr>
      </w:pPr>
      <w:r w:rsidRPr="006E517B">
        <w:rPr>
          <w:rFonts w:ascii="Montserrat" w:hAnsi="Montserrat" w:cs="Arial"/>
          <w:b/>
          <w:sz w:val="24"/>
          <w:szCs w:val="24"/>
        </w:rPr>
        <w:t>e</w:t>
      </w:r>
      <w:r w:rsidR="00385295" w:rsidRPr="006E517B">
        <w:rPr>
          <w:rFonts w:ascii="Montserrat" w:hAnsi="Montserrat" w:cs="Arial"/>
          <w:b/>
          <w:sz w:val="24"/>
          <w:szCs w:val="24"/>
        </w:rPr>
        <w:t xml:space="preserve">. </w:t>
      </w:r>
      <w:r w:rsidRPr="006E517B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es-MX"/>
        </w:rPr>
        <w:t>Avances de Mejora Regulatoria.</w:t>
      </w:r>
    </w:p>
    <w:p w14:paraId="746B67F7" w14:textId="7F00C4B9" w:rsidR="00A328C8" w:rsidRPr="00A328C8" w:rsidRDefault="00A328C8" w:rsidP="00A328C8">
      <w:p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Siguiendo los lineamientos generales y el procedimiento para la simplificación y mejora regulatoria de las disposiciones internas que regulan la operación y funcionamiento de las unidades administrativas y órganos desconcentrados</w:t>
      </w:r>
      <w:r w:rsidR="005C13CA">
        <w:rPr>
          <w:rFonts w:ascii="Montserrat" w:eastAsia="Times New Roman" w:hAnsi="Montserrat" w:cs="Times New Roman"/>
          <w:color w:val="000000" w:themeColor="text1"/>
          <w:lang w:eastAsia="es-MX"/>
        </w:rPr>
        <w:t>,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en el 3ª trimestre del año 2021 se revisaron y actualizaron 7 normas internas. </w:t>
      </w:r>
      <w:r w:rsidR="005C13CA">
        <w:rPr>
          <w:rFonts w:ascii="Montserrat" w:eastAsia="Times New Roman" w:hAnsi="Montserrat" w:cs="Times New Roman"/>
          <w:color w:val="000000" w:themeColor="text1"/>
          <w:lang w:eastAsia="es-MX"/>
        </w:rPr>
        <w:t>que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son las siguientes:</w:t>
      </w:r>
    </w:p>
    <w:p w14:paraId="5780633E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Estatuto Orgánico de El Colegio de la Frontera Sur.</w:t>
      </w:r>
    </w:p>
    <w:p w14:paraId="736C2CBE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Manual de Organización de El Colegio de la Frontera Sur.</w:t>
      </w:r>
    </w:p>
    <w:p w14:paraId="17FD7275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r w:rsidRPr="00A328C8">
        <w:rPr>
          <w:rFonts w:ascii="Montserrat" w:hAnsi="Montserrat"/>
        </w:rPr>
        <w:t>Lineamientos de Educación Continua de El Colegio de la Frontera Sur</w:t>
      </w:r>
    </w:p>
    <w:p w14:paraId="711CA8AD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hAnsi="Montserrat"/>
          <w:bCs/>
        </w:rPr>
      </w:pPr>
      <w:r w:rsidRPr="00A328C8">
        <w:rPr>
          <w:rFonts w:ascii="Montserrat" w:hAnsi="Montserrat"/>
        </w:rPr>
        <w:t>D</w:t>
      </w:r>
      <w:r w:rsidRPr="00A328C8">
        <w:rPr>
          <w:rFonts w:ascii="Montserrat" w:hAnsi="Montserrat"/>
          <w:bCs/>
        </w:rPr>
        <w:t>isposiciones generales a las que se sujetan las autorizaciones que otorgue la persona titular de El Colegio de la Frontera Sur (ECOSUR) para la celebración de contratos plurianuales en materia de adquisiciones, arrendamientos y servicios, así como de obra pública</w:t>
      </w:r>
    </w:p>
    <w:p w14:paraId="737FDB32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Políticas Bases y Lineamientos en Materia de Adquisiciones, Arrendamientos y Servicios de El Colegio de la Frontera Sur.</w:t>
      </w:r>
    </w:p>
    <w:p w14:paraId="0B09122A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Actualización del Manual de Integración y Funcionamiento del Comité de Adquisiciones, Arrendamientos y Servicios de El Colegio de la Frontera Sur.</w:t>
      </w:r>
    </w:p>
    <w:p w14:paraId="760A989E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hAnsi="Montserrat"/>
          <w:bCs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Actualización del Manual de Integración y Funcionamiento del Comité de Bienes Muebles de El Colegio de la Frontera Sur.</w:t>
      </w:r>
    </w:p>
    <w:p w14:paraId="0F8DCA8E" w14:textId="5B87F7F9" w:rsidR="00A328C8" w:rsidRPr="00A328C8" w:rsidRDefault="00A328C8" w:rsidP="00A328C8">
      <w:p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De estas 7 normas internas 5 se enviaron a revisión y validación de la Unidad de Asuntos Jurídicos del CONACYT; sin embargo, por cargas de trabajo de esa Unidad</w:t>
      </w:r>
      <w:r w:rsidR="005C13CA">
        <w:rPr>
          <w:rFonts w:ascii="Montserrat" w:eastAsia="Times New Roman" w:hAnsi="Montserrat" w:cs="Times New Roman"/>
          <w:color w:val="000000" w:themeColor="text1"/>
          <w:lang w:eastAsia="es-MX"/>
        </w:rPr>
        <w:t>,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2 normas no fueron validadas a tiempo para su presentación y aprobación de la Junta de Gobierno y una </w:t>
      </w:r>
      <w:r w:rsidR="00D606CB"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está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en atención de las observaciones realizadas.</w:t>
      </w:r>
    </w:p>
    <w:p w14:paraId="4DA06574" w14:textId="77777777" w:rsidR="00A328C8" w:rsidRPr="00A328C8" w:rsidRDefault="00A328C8" w:rsidP="00A328C8">
      <w:p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Las normas internas validadas y aprobadas por la Junta de Gobierno son las siguientes:</w:t>
      </w:r>
    </w:p>
    <w:p w14:paraId="1D60F201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Estatuto Orgánico de El Colegio de la Frontera Sur.</w:t>
      </w:r>
    </w:p>
    <w:p w14:paraId="2B30C231" w14:textId="77777777" w:rsidR="00A328C8" w:rsidRPr="00A328C8" w:rsidRDefault="00A328C8" w:rsidP="00A328C8">
      <w:pPr>
        <w:pStyle w:val="Prrafodelista"/>
        <w:numPr>
          <w:ilvl w:val="0"/>
          <w:numId w:val="6"/>
        </w:numPr>
        <w:jc w:val="both"/>
        <w:rPr>
          <w:rFonts w:ascii="Montserrat" w:hAnsi="Montserrat"/>
        </w:rPr>
      </w:pPr>
      <w:r w:rsidRPr="00A328C8">
        <w:rPr>
          <w:rFonts w:ascii="Montserrat" w:hAnsi="Montserrat"/>
        </w:rPr>
        <w:t>Lineamientos de Educación Continua de El Colegio de la Frontera Sur</w:t>
      </w:r>
    </w:p>
    <w:p w14:paraId="78F3CBE5" w14:textId="77777777" w:rsidR="005C13CA" w:rsidRDefault="005C13CA" w:rsidP="00A328C8">
      <w:p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</w:p>
    <w:p w14:paraId="160FF217" w14:textId="0A40F496" w:rsidR="00A328C8" w:rsidRPr="00A328C8" w:rsidRDefault="00A328C8" w:rsidP="00A328C8">
      <w:p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Actualmente se encuentran en revisión y actualización diferentes normas internas del Posgrado. </w:t>
      </w:r>
    </w:p>
    <w:p w14:paraId="7CC72256" w14:textId="53B4CC72" w:rsidR="00A328C8" w:rsidRPr="00A328C8" w:rsidRDefault="00A328C8" w:rsidP="00A328C8">
      <w:pPr>
        <w:jc w:val="both"/>
        <w:rPr>
          <w:rFonts w:ascii="Montserrat" w:eastAsia="Times New Roman" w:hAnsi="Montserrat" w:cs="Times New Roman"/>
          <w:color w:val="000000" w:themeColor="text1"/>
          <w:lang w:eastAsia="es-MX"/>
        </w:rPr>
      </w:pP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>También es importante mencionar que se realizó la revisión del inventario de normas internas administrativas y sustantivas de ECOSUR</w:t>
      </w:r>
      <w:r w:rsidR="005C13CA">
        <w:rPr>
          <w:rFonts w:ascii="Montserrat" w:eastAsia="Times New Roman" w:hAnsi="Montserrat" w:cs="Times New Roman"/>
          <w:color w:val="000000" w:themeColor="text1"/>
          <w:lang w:eastAsia="es-MX"/>
        </w:rPr>
        <w:t>. Se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tiene registrado un total de 48 normas publicadas en la plataforma del SANI</w:t>
      </w:r>
      <w:r w:rsidR="005C13CA">
        <w:rPr>
          <w:rFonts w:ascii="Montserrat" w:eastAsia="Times New Roman" w:hAnsi="Montserrat" w:cs="Times New Roman"/>
          <w:color w:val="000000" w:themeColor="text1"/>
          <w:lang w:eastAsia="es-MX"/>
        </w:rPr>
        <w:t>. A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l hacer un análisis 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lastRenderedPageBreak/>
        <w:t>minucioso</w:t>
      </w:r>
      <w:r w:rsidR="005C13CA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de ellas,</w:t>
      </w:r>
      <w:r w:rsidRPr="00A328C8">
        <w:rPr>
          <w:rFonts w:ascii="Montserrat" w:eastAsia="Times New Roman" w:hAnsi="Montserrat" w:cs="Times New Roman"/>
          <w:color w:val="000000" w:themeColor="text1"/>
          <w:lang w:eastAsia="es-MX"/>
        </w:rPr>
        <w:t xml:space="preserve"> se identificaron 13 normas que ya se encuentran sin efecto, toda vez que se reformaron, actualizaron y/o modificaron, por lo que se está en proceso de realizar la baja en la plataforma del SANI.</w:t>
      </w:r>
    </w:p>
    <w:p w14:paraId="7E7D301B" w14:textId="77777777" w:rsidR="00A328C8" w:rsidRPr="00A328C8" w:rsidRDefault="00A328C8" w:rsidP="00A328C8">
      <w:pPr>
        <w:spacing w:after="0"/>
        <w:jc w:val="both"/>
        <w:rPr>
          <w:rFonts w:ascii="Montserrat" w:hAnsi="Montserrat"/>
        </w:rPr>
      </w:pPr>
      <w:r w:rsidRPr="00A328C8">
        <w:rPr>
          <w:rFonts w:ascii="Montserrat" w:hAnsi="Montserrat"/>
        </w:rPr>
        <w:t xml:space="preserve">Asimismo, se realizó un comparativo de las normas publicadas en la plataforma del SANI con las publicadas en la </w:t>
      </w:r>
      <w:proofErr w:type="spellStart"/>
      <w:r w:rsidRPr="00A328C8">
        <w:rPr>
          <w:rFonts w:ascii="Montserrat" w:hAnsi="Montserrat"/>
        </w:rPr>
        <w:t>Normateca</w:t>
      </w:r>
      <w:proofErr w:type="spellEnd"/>
      <w:r w:rsidRPr="00A328C8">
        <w:rPr>
          <w:rFonts w:ascii="Montserrat" w:hAnsi="Montserrat"/>
        </w:rPr>
        <w:t xml:space="preserve"> de ECOSUR, con la finalidad de que las normas publicadas en ambas plataformas sean las mismas y que se encuentren actualizadas y así cumplir con la simplificación y mejora regulatoria que la SFP recomienda.</w:t>
      </w:r>
    </w:p>
    <w:p w14:paraId="394965F7" w14:textId="23AB672F" w:rsidR="004C229F" w:rsidRPr="00A328C8" w:rsidRDefault="004C229F" w:rsidP="00A328C8">
      <w:pPr>
        <w:pStyle w:val="Prrafodelista"/>
        <w:ind w:left="0"/>
        <w:rPr>
          <w:rFonts w:ascii="Montserrat" w:hAnsi="Montserrat"/>
        </w:rPr>
      </w:pPr>
    </w:p>
    <w:sectPr w:rsidR="004C229F" w:rsidRPr="00A328C8" w:rsidSect="005C13CA">
      <w:headerReference w:type="default" r:id="rId8"/>
      <w:footerReference w:type="default" r:id="rId9"/>
      <w:pgSz w:w="12240" w:h="15840"/>
      <w:pgMar w:top="880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34E3" w14:textId="77777777" w:rsidR="00780477" w:rsidRDefault="00780477" w:rsidP="008E075A">
      <w:pPr>
        <w:spacing w:after="0" w:line="240" w:lineRule="auto"/>
      </w:pPr>
      <w:r>
        <w:separator/>
      </w:r>
    </w:p>
  </w:endnote>
  <w:endnote w:type="continuationSeparator" w:id="0">
    <w:p w14:paraId="4E4E592E" w14:textId="77777777" w:rsidR="00780477" w:rsidRDefault="00780477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03266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B220CC9" w14:textId="7F5C6BA6" w:rsidR="00455B92" w:rsidRPr="00455B92" w:rsidRDefault="00455B92">
        <w:pPr>
          <w:pStyle w:val="Piedepgina"/>
          <w:jc w:val="center"/>
          <w:rPr>
            <w:rFonts w:ascii="Montserrat" w:hAnsi="Montserrat"/>
          </w:rPr>
        </w:pPr>
        <w:r w:rsidRPr="00455B92">
          <w:rPr>
            <w:rFonts w:ascii="Montserrat" w:hAnsi="Montserrat"/>
          </w:rPr>
          <w:fldChar w:fldCharType="begin"/>
        </w:r>
        <w:r w:rsidRPr="00455B92">
          <w:rPr>
            <w:rFonts w:ascii="Montserrat" w:hAnsi="Montserrat"/>
          </w:rPr>
          <w:instrText>PAGE   \* MERGEFORMAT</w:instrText>
        </w:r>
        <w:r w:rsidRPr="00455B92">
          <w:rPr>
            <w:rFonts w:ascii="Montserrat" w:hAnsi="Montserrat"/>
          </w:rPr>
          <w:fldChar w:fldCharType="separate"/>
        </w:r>
        <w:r w:rsidRPr="00455B92">
          <w:rPr>
            <w:rFonts w:ascii="Montserrat" w:hAnsi="Montserrat"/>
            <w:lang w:val="es-ES"/>
          </w:rPr>
          <w:t>2</w:t>
        </w:r>
        <w:r w:rsidRPr="00455B92">
          <w:rPr>
            <w:rFonts w:ascii="Montserrat" w:hAnsi="Montserrat"/>
          </w:rPr>
          <w:fldChar w:fldCharType="end"/>
        </w:r>
      </w:p>
    </w:sdtContent>
  </w:sdt>
  <w:p w14:paraId="66F2DC67" w14:textId="77777777" w:rsidR="00AC420E" w:rsidRPr="00455B92" w:rsidRDefault="00AC420E" w:rsidP="00455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1FC0" w14:textId="77777777" w:rsidR="00780477" w:rsidRDefault="00780477" w:rsidP="008E075A">
      <w:pPr>
        <w:spacing w:after="0" w:line="240" w:lineRule="auto"/>
      </w:pPr>
      <w:r>
        <w:separator/>
      </w:r>
    </w:p>
  </w:footnote>
  <w:footnote w:type="continuationSeparator" w:id="0">
    <w:p w14:paraId="7F7392AD" w14:textId="77777777" w:rsidR="00780477" w:rsidRDefault="00780477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0732" w14:textId="0D3AF8FE" w:rsidR="00385295" w:rsidRDefault="00385295" w:rsidP="00385295">
    <w:r>
      <w:rPr>
        <w:noProof/>
      </w:rPr>
      <w:drawing>
        <wp:anchor distT="0" distB="0" distL="114300" distR="114300" simplePos="0" relativeHeight="251658240" behindDoc="0" locked="0" layoutInCell="1" allowOverlap="1" wp14:anchorId="68C17B94" wp14:editId="3F4914E3">
          <wp:simplePos x="0" y="0"/>
          <wp:positionH relativeFrom="column">
            <wp:posOffset>-1905</wp:posOffset>
          </wp:positionH>
          <wp:positionV relativeFrom="paragraph">
            <wp:posOffset>-145356</wp:posOffset>
          </wp:positionV>
          <wp:extent cx="5602605" cy="108521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64550F" w14:textId="77777777" w:rsidR="00385295" w:rsidRDefault="00385295" w:rsidP="00385295"/>
  <w:p w14:paraId="3D6DF68E" w14:textId="3FA9BB2A" w:rsidR="00AC420E" w:rsidRDefault="00AC420E" w:rsidP="00385295"/>
  <w:p w14:paraId="6D7E1EBC" w14:textId="77777777" w:rsidR="00385295" w:rsidRDefault="00385295" w:rsidP="003852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1E1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7BD"/>
    <w:multiLevelType w:val="hybridMultilevel"/>
    <w:tmpl w:val="055297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5DB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79E5"/>
    <w:multiLevelType w:val="hybridMultilevel"/>
    <w:tmpl w:val="0E041236"/>
    <w:lvl w:ilvl="0" w:tplc="82D82692">
      <w:start w:val="24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32539"/>
    <w:rsid w:val="00033F30"/>
    <w:rsid w:val="000671CB"/>
    <w:rsid w:val="000979C2"/>
    <w:rsid w:val="00097C5B"/>
    <w:rsid w:val="000A7E9B"/>
    <w:rsid w:val="000C402D"/>
    <w:rsid w:val="000C59D9"/>
    <w:rsid w:val="000D513E"/>
    <w:rsid w:val="000E6332"/>
    <w:rsid w:val="000F561B"/>
    <w:rsid w:val="001769EA"/>
    <w:rsid w:val="0018046F"/>
    <w:rsid w:val="00196D89"/>
    <w:rsid w:val="001B3E29"/>
    <w:rsid w:val="001D525C"/>
    <w:rsid w:val="001F28D5"/>
    <w:rsid w:val="001F59F0"/>
    <w:rsid w:val="00247689"/>
    <w:rsid w:val="00260A56"/>
    <w:rsid w:val="0026612B"/>
    <w:rsid w:val="00274BAD"/>
    <w:rsid w:val="002766CE"/>
    <w:rsid w:val="0028023B"/>
    <w:rsid w:val="002B1F24"/>
    <w:rsid w:val="003278BE"/>
    <w:rsid w:val="00356760"/>
    <w:rsid w:val="0038181A"/>
    <w:rsid w:val="00385295"/>
    <w:rsid w:val="003D3F12"/>
    <w:rsid w:val="003D4FFC"/>
    <w:rsid w:val="003E698B"/>
    <w:rsid w:val="00423A25"/>
    <w:rsid w:val="004375DF"/>
    <w:rsid w:val="00452F77"/>
    <w:rsid w:val="00455B92"/>
    <w:rsid w:val="0046198E"/>
    <w:rsid w:val="0048225A"/>
    <w:rsid w:val="0048393B"/>
    <w:rsid w:val="004A1068"/>
    <w:rsid w:val="004A795B"/>
    <w:rsid w:val="004C0717"/>
    <w:rsid w:val="004C229F"/>
    <w:rsid w:val="004E3816"/>
    <w:rsid w:val="00505CA3"/>
    <w:rsid w:val="00514097"/>
    <w:rsid w:val="00517EA7"/>
    <w:rsid w:val="0053339B"/>
    <w:rsid w:val="00554C83"/>
    <w:rsid w:val="005B3A72"/>
    <w:rsid w:val="005C13CA"/>
    <w:rsid w:val="005C5442"/>
    <w:rsid w:val="005E3DA1"/>
    <w:rsid w:val="005F6804"/>
    <w:rsid w:val="00600689"/>
    <w:rsid w:val="00622EE7"/>
    <w:rsid w:val="00645B82"/>
    <w:rsid w:val="006557A0"/>
    <w:rsid w:val="00660FA8"/>
    <w:rsid w:val="00667B20"/>
    <w:rsid w:val="006727CD"/>
    <w:rsid w:val="006D34BC"/>
    <w:rsid w:val="006E517B"/>
    <w:rsid w:val="006F0B12"/>
    <w:rsid w:val="007075FB"/>
    <w:rsid w:val="00710E3C"/>
    <w:rsid w:val="007343F9"/>
    <w:rsid w:val="00775FCE"/>
    <w:rsid w:val="00780477"/>
    <w:rsid w:val="007D0D71"/>
    <w:rsid w:val="007E5728"/>
    <w:rsid w:val="0082221A"/>
    <w:rsid w:val="00840E5B"/>
    <w:rsid w:val="00874589"/>
    <w:rsid w:val="008B1F29"/>
    <w:rsid w:val="008C5591"/>
    <w:rsid w:val="008D7898"/>
    <w:rsid w:val="008E075A"/>
    <w:rsid w:val="008F5BFA"/>
    <w:rsid w:val="009079B1"/>
    <w:rsid w:val="00911E46"/>
    <w:rsid w:val="00941249"/>
    <w:rsid w:val="00942A19"/>
    <w:rsid w:val="00943597"/>
    <w:rsid w:val="0096035F"/>
    <w:rsid w:val="009E379D"/>
    <w:rsid w:val="009F3848"/>
    <w:rsid w:val="00A00FAD"/>
    <w:rsid w:val="00A328C8"/>
    <w:rsid w:val="00A35295"/>
    <w:rsid w:val="00A35521"/>
    <w:rsid w:val="00A63F15"/>
    <w:rsid w:val="00A809EE"/>
    <w:rsid w:val="00A95E1A"/>
    <w:rsid w:val="00AC420E"/>
    <w:rsid w:val="00AC44A5"/>
    <w:rsid w:val="00AC5480"/>
    <w:rsid w:val="00AE208A"/>
    <w:rsid w:val="00AE4E6B"/>
    <w:rsid w:val="00B34DA5"/>
    <w:rsid w:val="00B50B65"/>
    <w:rsid w:val="00B9108D"/>
    <w:rsid w:val="00BD31C2"/>
    <w:rsid w:val="00BF54F9"/>
    <w:rsid w:val="00C02BC7"/>
    <w:rsid w:val="00C105DD"/>
    <w:rsid w:val="00C213AA"/>
    <w:rsid w:val="00C357B9"/>
    <w:rsid w:val="00C6140C"/>
    <w:rsid w:val="00CA211D"/>
    <w:rsid w:val="00CF02AA"/>
    <w:rsid w:val="00D02857"/>
    <w:rsid w:val="00D308D6"/>
    <w:rsid w:val="00D52E74"/>
    <w:rsid w:val="00D606CB"/>
    <w:rsid w:val="00D63814"/>
    <w:rsid w:val="00D77C6D"/>
    <w:rsid w:val="00DA7DAB"/>
    <w:rsid w:val="00DB1B0D"/>
    <w:rsid w:val="00DD0E0A"/>
    <w:rsid w:val="00DD1423"/>
    <w:rsid w:val="00DE53E8"/>
    <w:rsid w:val="00DF6A48"/>
    <w:rsid w:val="00E121CE"/>
    <w:rsid w:val="00E22794"/>
    <w:rsid w:val="00EA4150"/>
    <w:rsid w:val="00ED60BC"/>
    <w:rsid w:val="00F043A8"/>
    <w:rsid w:val="00F27518"/>
    <w:rsid w:val="00F525BB"/>
    <w:rsid w:val="00F834C9"/>
    <w:rsid w:val="00F8611E"/>
    <w:rsid w:val="00F90627"/>
    <w:rsid w:val="00FA7A11"/>
    <w:rsid w:val="00FB1E11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DBB513"/>
  <w15:docId w15:val="{53D4CE6E-70B1-4779-A10D-69E543F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9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BC64-E2BD-4024-B32D-711C8317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Claudia</cp:lastModifiedBy>
  <cp:revision>2</cp:revision>
  <cp:lastPrinted>2018-04-04T17:47:00Z</cp:lastPrinted>
  <dcterms:created xsi:type="dcterms:W3CDTF">2021-11-07T09:37:00Z</dcterms:created>
  <dcterms:modified xsi:type="dcterms:W3CDTF">2021-11-07T09:37:00Z</dcterms:modified>
</cp:coreProperties>
</file>