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84F8" w14:textId="3CC886D5" w:rsidR="005A5462" w:rsidRDefault="005A5462" w:rsidP="00174940">
      <w:pPr>
        <w:spacing w:after="0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XIV</w:t>
      </w:r>
      <w:r w:rsidR="005A6D84" w:rsidRPr="005A6D84">
        <w:rPr>
          <w:rFonts w:ascii="Montserrat" w:hAnsi="Montserrat"/>
          <w:b/>
          <w:bCs/>
          <w:sz w:val="28"/>
          <w:szCs w:val="28"/>
        </w:rPr>
        <w:t xml:space="preserve">. </w:t>
      </w:r>
      <w:r>
        <w:rPr>
          <w:rFonts w:ascii="Montserrat" w:hAnsi="Montserrat"/>
          <w:b/>
          <w:bCs/>
          <w:sz w:val="28"/>
          <w:szCs w:val="28"/>
        </w:rPr>
        <w:t>Asuntos Generales</w:t>
      </w:r>
    </w:p>
    <w:p w14:paraId="2A7A2584" w14:textId="77777777" w:rsidR="005A5462" w:rsidRPr="005A5462" w:rsidRDefault="005A5462" w:rsidP="00174940">
      <w:pPr>
        <w:spacing w:after="0"/>
        <w:rPr>
          <w:rFonts w:ascii="Montserrat" w:hAnsi="Montserrat"/>
          <w:b/>
          <w:bCs/>
        </w:rPr>
      </w:pPr>
    </w:p>
    <w:p w14:paraId="36D54C69" w14:textId="09E45BD0" w:rsidR="002C73ED" w:rsidRPr="005A5462" w:rsidRDefault="00174940" w:rsidP="00174940">
      <w:pPr>
        <w:spacing w:after="0"/>
        <w:jc w:val="both"/>
        <w:rPr>
          <w:rFonts w:ascii="Montserrat" w:hAnsi="Montserrat"/>
          <w:b/>
          <w:bCs/>
          <w:sz w:val="24"/>
          <w:szCs w:val="24"/>
        </w:rPr>
      </w:pPr>
      <w:r w:rsidRPr="00174940">
        <w:rPr>
          <w:rFonts w:ascii="Montserrat" w:hAnsi="Montserrat"/>
          <w:b/>
          <w:bCs/>
          <w:sz w:val="24"/>
          <w:szCs w:val="24"/>
        </w:rPr>
        <w:t>d.</w:t>
      </w:r>
      <w:r>
        <w:rPr>
          <w:rFonts w:ascii="Montserrat" w:hAnsi="Montserrat"/>
          <w:b/>
          <w:bCs/>
          <w:sz w:val="24"/>
          <w:szCs w:val="24"/>
        </w:rPr>
        <w:t xml:space="preserve"> </w:t>
      </w:r>
      <w:r w:rsidRPr="00174940">
        <w:rPr>
          <w:rFonts w:ascii="Montserrat" w:hAnsi="Montserrat"/>
          <w:b/>
          <w:bCs/>
          <w:sz w:val="24"/>
          <w:szCs w:val="24"/>
        </w:rPr>
        <w:t>Programa Nacional para la Igualdad y No Discriminación 2021-2024 (PRONAIND)</w:t>
      </w:r>
    </w:p>
    <w:p w14:paraId="70FD6EF1" w14:textId="5E43ECDB" w:rsidR="005A6D84" w:rsidRDefault="005A6D84" w:rsidP="005A6D84">
      <w:pPr>
        <w:spacing w:after="0"/>
        <w:rPr>
          <w:rFonts w:ascii="Montserrat" w:hAnsi="Montserrat"/>
        </w:rPr>
      </w:pPr>
    </w:p>
    <w:p w14:paraId="2613281C" w14:textId="77777777" w:rsidR="00174940" w:rsidRDefault="00174940" w:rsidP="00174940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El 14 de diciembre de 2021, se publicó en el Diario Oficial de la Federación el Decreto por el que se aprueba el Programa Nacional para la Igualdad y No Discriminación 2021-2024 (PRONAIND). Este Programa se compone de seis objetivos prioritarios, divididos en 29 estrategias prioritarias, de las cuales se desprenden 69 acciones puntuales.</w:t>
      </w:r>
    </w:p>
    <w:p w14:paraId="47F6828D" w14:textId="77777777" w:rsidR="00174940" w:rsidRDefault="00174940" w:rsidP="00174940">
      <w:pPr>
        <w:spacing w:after="0"/>
        <w:rPr>
          <w:rFonts w:ascii="Montserrat" w:hAnsi="Montserrat"/>
        </w:rPr>
      </w:pPr>
    </w:p>
    <w:p w14:paraId="56FB46E5" w14:textId="6DA05C06" w:rsidR="00174940" w:rsidRDefault="00174940" w:rsidP="00174940">
      <w:pPr>
        <w:spacing w:after="0"/>
        <w:jc w:val="both"/>
        <w:rPr>
          <w:rFonts w:ascii="Montserrat" w:hAnsi="Montserrat" w:cs="Montserrat Medium"/>
          <w:color w:val="000000"/>
        </w:rPr>
      </w:pPr>
      <w:r>
        <w:rPr>
          <w:rFonts w:ascii="Montserrat" w:hAnsi="Montserrat"/>
        </w:rPr>
        <w:t xml:space="preserve">Solo tres acciones puntuales son aplicables para ECOSUR, mismas que se vinculan con la </w:t>
      </w:r>
      <w:r w:rsidRPr="00452F4B">
        <w:rPr>
          <w:rFonts w:ascii="Montserrat" w:hAnsi="Montserrat"/>
          <w:b/>
          <w:bCs/>
        </w:rPr>
        <w:t>e</w:t>
      </w:r>
      <w:r w:rsidRPr="00195CD2">
        <w:rPr>
          <w:rFonts w:ascii="Montserrat" w:hAnsi="Montserrat" w:cs="Montserrat Medium"/>
          <w:b/>
          <w:bCs/>
          <w:color w:val="000000"/>
        </w:rPr>
        <w:t xml:space="preserve">strategia prioritaria 3.3. </w:t>
      </w:r>
      <w:r w:rsidRPr="00195CD2">
        <w:rPr>
          <w:rFonts w:ascii="Montserrat" w:hAnsi="Montserrat"/>
        </w:rPr>
        <w:t>Desarrollar acciones e instrumentos de política pública que contribuyan a garantizar el derecho a la igualdad y la no discriminación en el trabajo</w:t>
      </w:r>
      <w:r>
        <w:rPr>
          <w:rFonts w:ascii="Montserrat" w:hAnsi="Montserrat"/>
        </w:rPr>
        <w:t xml:space="preserve"> (1</w:t>
      </w:r>
      <w:r w:rsidR="002357C0">
        <w:rPr>
          <w:rFonts w:ascii="Montserrat" w:hAnsi="Montserrat"/>
        </w:rPr>
        <w:t xml:space="preserve"> acción</w:t>
      </w:r>
      <w:r>
        <w:rPr>
          <w:rFonts w:ascii="Montserrat" w:hAnsi="Montserrat"/>
        </w:rPr>
        <w:t xml:space="preserve">) y la </w:t>
      </w:r>
      <w:r w:rsidRPr="00452F4B">
        <w:rPr>
          <w:rFonts w:ascii="Montserrat" w:hAnsi="Montserrat"/>
          <w:b/>
          <w:bCs/>
        </w:rPr>
        <w:t>e</w:t>
      </w:r>
      <w:r w:rsidRPr="00195CD2">
        <w:rPr>
          <w:rFonts w:ascii="Montserrat" w:hAnsi="Montserrat" w:cs="Montserrat SemiBold"/>
          <w:b/>
          <w:bCs/>
          <w:color w:val="000000"/>
        </w:rPr>
        <w:t xml:space="preserve">strategia prioritaria 6.1 </w:t>
      </w:r>
      <w:r w:rsidRPr="00195CD2">
        <w:rPr>
          <w:rFonts w:ascii="Montserrat" w:hAnsi="Montserrat" w:cs="Montserrat Medium"/>
          <w:color w:val="000000"/>
        </w:rPr>
        <w:t>Incorporar la perspectiva antidiscriminatoria en el quehacer público federal para</w:t>
      </w:r>
      <w:r w:rsidRPr="00F40D56">
        <w:rPr>
          <w:rFonts w:ascii="Montserrat" w:hAnsi="Montserrat" w:cs="Montserrat Medium"/>
          <w:color w:val="000000"/>
        </w:rPr>
        <w:t xml:space="preserve"> estandarizar una base de cumplimiento del derecho a la igualdad y no discriminación</w:t>
      </w:r>
      <w:r>
        <w:rPr>
          <w:rFonts w:ascii="Montserrat" w:hAnsi="Montserrat" w:cs="Montserrat Medium"/>
          <w:color w:val="000000"/>
        </w:rPr>
        <w:t xml:space="preserve"> (2</w:t>
      </w:r>
      <w:r w:rsidR="002357C0">
        <w:rPr>
          <w:rFonts w:ascii="Montserrat" w:hAnsi="Montserrat" w:cs="Montserrat Medium"/>
          <w:color w:val="000000"/>
        </w:rPr>
        <w:t xml:space="preserve"> acciones</w:t>
      </w:r>
      <w:r>
        <w:rPr>
          <w:rFonts w:ascii="Montserrat" w:hAnsi="Montserrat" w:cs="Montserrat Medium"/>
          <w:color w:val="000000"/>
        </w:rPr>
        <w:t>)</w:t>
      </w:r>
      <w:r w:rsidRPr="00F40D56">
        <w:rPr>
          <w:rFonts w:ascii="Montserrat" w:hAnsi="Montserrat" w:cs="Montserrat Medium"/>
          <w:color w:val="000000"/>
        </w:rPr>
        <w:t>.</w:t>
      </w:r>
    </w:p>
    <w:p w14:paraId="00DB99B5" w14:textId="77777777" w:rsidR="00174940" w:rsidRDefault="00174940" w:rsidP="00174940">
      <w:pPr>
        <w:spacing w:after="0"/>
        <w:rPr>
          <w:rFonts w:ascii="Montserrat" w:hAnsi="Montserrat" w:cs="Montserrat Medium"/>
          <w:color w:val="000000"/>
        </w:rPr>
      </w:pPr>
    </w:p>
    <w:p w14:paraId="03A4786B" w14:textId="4CECD2EC" w:rsidR="00174940" w:rsidRDefault="00174940" w:rsidP="00174940">
      <w:pPr>
        <w:spacing w:after="0"/>
        <w:rPr>
          <w:rFonts w:ascii="Montserrat" w:hAnsi="Montserrat" w:cs="Montserrat Medium"/>
          <w:color w:val="000000"/>
        </w:rPr>
      </w:pPr>
      <w:r>
        <w:rPr>
          <w:rFonts w:ascii="Montserrat" w:hAnsi="Montserrat" w:cs="Montserrat Medium"/>
          <w:color w:val="000000"/>
        </w:rPr>
        <w:t>Tabla 1. Acciones puntuales aplicables a ECOSUR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"/>
        <w:gridCol w:w="9055"/>
      </w:tblGrid>
      <w:tr w:rsidR="00174940" w:rsidRPr="00A44914" w14:paraId="57018E9E" w14:textId="77777777" w:rsidTr="00174940">
        <w:tc>
          <w:tcPr>
            <w:tcW w:w="341" w:type="dxa"/>
          </w:tcPr>
          <w:p w14:paraId="094C5615" w14:textId="77777777" w:rsidR="00174940" w:rsidRPr="00A44914" w:rsidRDefault="00174940" w:rsidP="0091473E">
            <w:pPr>
              <w:jc w:val="center"/>
              <w:rPr>
                <w:rFonts w:ascii="Montserrat" w:hAnsi="Montserrat" w:cs="Montserrat Medium"/>
                <w:b/>
                <w:bCs/>
                <w:color w:val="000000"/>
              </w:rPr>
            </w:pPr>
          </w:p>
        </w:tc>
        <w:tc>
          <w:tcPr>
            <w:tcW w:w="11987" w:type="dxa"/>
          </w:tcPr>
          <w:p w14:paraId="508F16BB" w14:textId="77777777" w:rsidR="00174940" w:rsidRPr="00A44914" w:rsidRDefault="00174940" w:rsidP="0091473E">
            <w:pPr>
              <w:jc w:val="center"/>
              <w:rPr>
                <w:rFonts w:ascii="Montserrat" w:hAnsi="Montserrat" w:cs="Montserrat Medium"/>
                <w:b/>
                <w:bCs/>
                <w:color w:val="000000"/>
              </w:rPr>
            </w:pPr>
            <w:r w:rsidRPr="00A44914">
              <w:rPr>
                <w:rFonts w:ascii="Montserrat" w:hAnsi="Montserrat" w:cs="Montserrat Medium"/>
                <w:b/>
                <w:bCs/>
                <w:color w:val="000000"/>
              </w:rPr>
              <w:t>Acciones puntuales</w:t>
            </w:r>
          </w:p>
        </w:tc>
      </w:tr>
      <w:tr w:rsidR="00174940" w14:paraId="29145539" w14:textId="77777777" w:rsidTr="00174940">
        <w:tc>
          <w:tcPr>
            <w:tcW w:w="341" w:type="dxa"/>
          </w:tcPr>
          <w:p w14:paraId="71C9361C" w14:textId="77777777" w:rsidR="00174940" w:rsidRDefault="00174940" w:rsidP="0091473E">
            <w:pPr>
              <w:jc w:val="center"/>
              <w:rPr>
                <w:rFonts w:ascii="Montserrat" w:hAnsi="Montserrat" w:cs="Montserrat Medium"/>
                <w:color w:val="000000"/>
              </w:rPr>
            </w:pPr>
            <w:r>
              <w:rPr>
                <w:rFonts w:ascii="Montserrat" w:hAnsi="Montserrat" w:cs="Montserrat Medium"/>
                <w:color w:val="000000"/>
              </w:rPr>
              <w:t>1</w:t>
            </w:r>
          </w:p>
        </w:tc>
        <w:tc>
          <w:tcPr>
            <w:tcW w:w="11987" w:type="dxa"/>
          </w:tcPr>
          <w:p w14:paraId="4F2DD3E5" w14:textId="77777777" w:rsidR="00174940" w:rsidRDefault="00174940" w:rsidP="0091473E">
            <w:pPr>
              <w:rPr>
                <w:rFonts w:ascii="Montserrat" w:hAnsi="Montserrat" w:cs="Montserrat Medium"/>
                <w:color w:val="000000"/>
              </w:rPr>
            </w:pPr>
            <w:r w:rsidRPr="00723C9A">
              <w:rPr>
                <w:rFonts w:ascii="Montserrat" w:hAnsi="Montserrat" w:cs="Montserrat Light"/>
                <w:color w:val="000000"/>
              </w:rPr>
              <w:t>3.3.3 Promover en las entidades y dependencias de la APF la adopción de medidas de inclusión y de nivelación para garantizar la igualdad de condiciones en el acceso y condiciones de trabajo sin discriminación, especialmente para quienes enfrentan sistemáticamente las prácticas discriminatorias en este ámbito.</w:t>
            </w:r>
          </w:p>
        </w:tc>
      </w:tr>
      <w:tr w:rsidR="00174940" w14:paraId="6D6A697D" w14:textId="77777777" w:rsidTr="00174940">
        <w:tc>
          <w:tcPr>
            <w:tcW w:w="341" w:type="dxa"/>
          </w:tcPr>
          <w:p w14:paraId="0C162EB2" w14:textId="77777777" w:rsidR="00174940" w:rsidRDefault="00174940" w:rsidP="0091473E">
            <w:pPr>
              <w:jc w:val="center"/>
              <w:rPr>
                <w:rFonts w:ascii="Montserrat" w:hAnsi="Montserrat" w:cs="Montserrat Medium"/>
                <w:color w:val="000000"/>
              </w:rPr>
            </w:pPr>
            <w:r>
              <w:rPr>
                <w:rFonts w:ascii="Montserrat" w:hAnsi="Montserrat" w:cs="Montserrat Medium"/>
                <w:color w:val="000000"/>
              </w:rPr>
              <w:t>2</w:t>
            </w:r>
          </w:p>
        </w:tc>
        <w:tc>
          <w:tcPr>
            <w:tcW w:w="11987" w:type="dxa"/>
          </w:tcPr>
          <w:p w14:paraId="4A0A24FA" w14:textId="77777777" w:rsidR="00174940" w:rsidRDefault="00174940" w:rsidP="0091473E">
            <w:pPr>
              <w:rPr>
                <w:rFonts w:ascii="Montserrat" w:hAnsi="Montserrat" w:cs="Montserrat Medium"/>
                <w:color w:val="000000"/>
              </w:rPr>
            </w:pPr>
            <w:r>
              <w:rPr>
                <w:rFonts w:ascii="Montserrat" w:hAnsi="Montserrat" w:cs="Montserrat Light"/>
                <w:color w:val="000000"/>
              </w:rPr>
              <w:t>6</w:t>
            </w:r>
            <w:r w:rsidRPr="002F75A9">
              <w:rPr>
                <w:rFonts w:ascii="Montserrat" w:hAnsi="Montserrat" w:cs="Montserrat Light"/>
                <w:color w:val="000000"/>
              </w:rPr>
              <w:t>.1.1</w:t>
            </w:r>
            <w:r>
              <w:rPr>
                <w:rFonts w:ascii="Montserrat" w:hAnsi="Montserrat" w:cs="Montserrat Light"/>
                <w:color w:val="000000"/>
              </w:rPr>
              <w:t>.</w:t>
            </w:r>
            <w:r w:rsidRPr="002F75A9">
              <w:rPr>
                <w:rFonts w:ascii="Montserrat" w:hAnsi="Montserrat" w:cs="Montserrat Light"/>
                <w:color w:val="000000"/>
              </w:rPr>
              <w:t xml:space="preserve"> </w:t>
            </w:r>
            <w:r w:rsidRPr="00F40D56">
              <w:rPr>
                <w:rFonts w:ascii="Montserrat" w:hAnsi="Montserrat" w:cs="Montserrat Light"/>
                <w:color w:val="000000"/>
              </w:rPr>
              <w:t>Generar medidas de igualdad en la APF que cierren brechas discriminatorias en beneficio de los derechos humanos de los grupos sociales discriminados.</w:t>
            </w:r>
          </w:p>
        </w:tc>
      </w:tr>
      <w:tr w:rsidR="00174940" w14:paraId="65895795" w14:textId="77777777" w:rsidTr="00174940">
        <w:tc>
          <w:tcPr>
            <w:tcW w:w="341" w:type="dxa"/>
          </w:tcPr>
          <w:p w14:paraId="265DD275" w14:textId="77777777" w:rsidR="00174940" w:rsidRDefault="00174940" w:rsidP="0091473E">
            <w:pPr>
              <w:jc w:val="center"/>
              <w:rPr>
                <w:rFonts w:ascii="Montserrat" w:hAnsi="Montserrat" w:cs="Montserrat Medium"/>
                <w:color w:val="000000"/>
              </w:rPr>
            </w:pPr>
            <w:r>
              <w:rPr>
                <w:rFonts w:ascii="Montserrat" w:hAnsi="Montserrat" w:cs="Montserrat Medium"/>
                <w:color w:val="000000"/>
              </w:rPr>
              <w:t>3</w:t>
            </w:r>
          </w:p>
        </w:tc>
        <w:tc>
          <w:tcPr>
            <w:tcW w:w="11987" w:type="dxa"/>
          </w:tcPr>
          <w:p w14:paraId="785F8839" w14:textId="77777777" w:rsidR="00174940" w:rsidRDefault="00174940" w:rsidP="0091473E">
            <w:pPr>
              <w:rPr>
                <w:rFonts w:ascii="Montserrat" w:hAnsi="Montserrat" w:cs="Montserrat Medium"/>
                <w:color w:val="000000"/>
              </w:rPr>
            </w:pPr>
            <w:r>
              <w:rPr>
                <w:rFonts w:ascii="Montserrat" w:hAnsi="Montserrat" w:cs="Montserrat Light"/>
                <w:color w:val="000000"/>
              </w:rPr>
              <w:t>6.1.6.</w:t>
            </w:r>
            <w:r w:rsidRPr="002F75A9">
              <w:rPr>
                <w:rFonts w:ascii="Montserrat" w:hAnsi="Montserrat" w:cs="Montserrat Light"/>
                <w:color w:val="000000"/>
              </w:rPr>
              <w:t xml:space="preserve"> </w:t>
            </w:r>
            <w:r w:rsidRPr="00F40D56">
              <w:rPr>
                <w:rFonts w:ascii="Montserrat" w:hAnsi="Montserrat" w:cs="Montserrat Light"/>
                <w:color w:val="000000"/>
              </w:rPr>
              <w:t>Promover una estrategia progresiva para asegurar la accesibilidad de la información pública sobre trámites, servicios y programas públicos.</w:t>
            </w:r>
          </w:p>
        </w:tc>
      </w:tr>
    </w:tbl>
    <w:p w14:paraId="60F1EAAF" w14:textId="77777777" w:rsidR="00174940" w:rsidRDefault="00174940" w:rsidP="00174940">
      <w:pPr>
        <w:spacing w:after="0"/>
        <w:rPr>
          <w:rFonts w:ascii="Montserrat" w:hAnsi="Montserrat" w:cs="Montserrat Medium"/>
          <w:color w:val="000000"/>
        </w:rPr>
      </w:pPr>
    </w:p>
    <w:p w14:paraId="3BC52992" w14:textId="16071AA1" w:rsidR="00174940" w:rsidRDefault="0076104D" w:rsidP="00FE2F46">
      <w:pPr>
        <w:spacing w:after="0"/>
        <w:jc w:val="both"/>
        <w:rPr>
          <w:rFonts w:ascii="Montserrat" w:hAnsi="Montserrat" w:cs="Montserrat Medium"/>
          <w:color w:val="000000"/>
        </w:rPr>
      </w:pPr>
      <w:r>
        <w:rPr>
          <w:rFonts w:ascii="Montserrat" w:hAnsi="Montserrat" w:cs="Montserrat Medium"/>
          <w:color w:val="000000"/>
        </w:rPr>
        <w:t>ECOSUR ha tomado nota de la obligatoriedad de aplicar este Programa y queda atent</w:t>
      </w:r>
      <w:r w:rsidR="002357C0">
        <w:rPr>
          <w:rFonts w:ascii="Montserrat" w:hAnsi="Montserrat" w:cs="Montserrat Medium"/>
          <w:color w:val="000000"/>
        </w:rPr>
        <w:t>o</w:t>
      </w:r>
      <w:r>
        <w:rPr>
          <w:rFonts w:ascii="Montserrat" w:hAnsi="Montserrat" w:cs="Montserrat Medium"/>
          <w:color w:val="000000"/>
        </w:rPr>
        <w:t xml:space="preserve"> a las instrucciones relativas a su implementación en los puntos aplicables. </w:t>
      </w:r>
    </w:p>
    <w:p w14:paraId="1042140F" w14:textId="52082DEF" w:rsidR="00FE2F46" w:rsidRDefault="00FE2F46" w:rsidP="00FE2F46">
      <w:pPr>
        <w:spacing w:after="0"/>
        <w:jc w:val="both"/>
        <w:rPr>
          <w:rFonts w:ascii="Montserrat" w:hAnsi="Montserrat" w:cs="Montserrat Medium"/>
          <w:color w:val="000000"/>
        </w:rPr>
      </w:pPr>
    </w:p>
    <w:p w14:paraId="1ED7034A" w14:textId="39A60314" w:rsidR="00FE2F46" w:rsidRDefault="00FE2F46" w:rsidP="00FE2F46">
      <w:pPr>
        <w:spacing w:after="0"/>
        <w:jc w:val="both"/>
        <w:rPr>
          <w:rFonts w:ascii="Montserrat" w:hAnsi="Montserrat" w:cs="Montserrat Medium"/>
          <w:color w:val="000000"/>
        </w:rPr>
      </w:pPr>
    </w:p>
    <w:p w14:paraId="30D0DDE6" w14:textId="06774D8A" w:rsidR="00FE2F46" w:rsidRDefault="00FE2F46" w:rsidP="00FE2F46">
      <w:pPr>
        <w:spacing w:after="0"/>
        <w:jc w:val="both"/>
        <w:rPr>
          <w:rFonts w:ascii="Montserrat" w:hAnsi="Montserrat" w:cs="Montserrat Medium"/>
          <w:color w:val="000000"/>
        </w:rPr>
      </w:pPr>
      <w:r>
        <w:rPr>
          <w:rFonts w:ascii="Montserrat" w:hAnsi="Montserrat" w:cs="Montserrat Medium"/>
          <w:color w:val="000000"/>
        </w:rPr>
        <w:t>Responsable de la información:</w:t>
      </w:r>
    </w:p>
    <w:p w14:paraId="161B5E88" w14:textId="33063351" w:rsidR="00FE2F46" w:rsidRDefault="00FE2F46" w:rsidP="00FE2F46">
      <w:pPr>
        <w:spacing w:after="0"/>
        <w:jc w:val="both"/>
        <w:rPr>
          <w:rFonts w:ascii="Montserrat" w:hAnsi="Montserrat" w:cs="Montserrat Medium"/>
          <w:color w:val="000000"/>
        </w:rPr>
      </w:pPr>
    </w:p>
    <w:p w14:paraId="0FEB6ED7" w14:textId="68FFB059" w:rsidR="00FE2F46" w:rsidRDefault="00FE2F46" w:rsidP="00FE2F46">
      <w:pPr>
        <w:spacing w:after="0"/>
        <w:jc w:val="both"/>
        <w:rPr>
          <w:rFonts w:ascii="Montserrat" w:hAnsi="Montserrat" w:cs="Montserrat Medium"/>
          <w:color w:val="000000"/>
          <w:lang w:val="fr-FR"/>
        </w:rPr>
      </w:pPr>
      <w:r w:rsidRPr="00FE2F46">
        <w:rPr>
          <w:rFonts w:ascii="Montserrat" w:hAnsi="Montserrat" w:cs="Montserrat Medium"/>
          <w:color w:val="000000"/>
          <w:lang w:val="fr-FR"/>
        </w:rPr>
        <w:t>Dra. Marie Claude Brunel M</w:t>
      </w:r>
      <w:r>
        <w:rPr>
          <w:rFonts w:ascii="Montserrat" w:hAnsi="Montserrat" w:cs="Montserrat Medium"/>
          <w:color w:val="000000"/>
          <w:lang w:val="fr-FR"/>
        </w:rPr>
        <w:t>anse</w:t>
      </w:r>
    </w:p>
    <w:p w14:paraId="341D4410" w14:textId="3DEC6D00" w:rsidR="00FE2F46" w:rsidRPr="00FE2F46" w:rsidRDefault="00FE2F46" w:rsidP="00FE2F46">
      <w:pPr>
        <w:spacing w:after="0"/>
        <w:jc w:val="both"/>
        <w:rPr>
          <w:rFonts w:ascii="Montserrat" w:hAnsi="Montserrat" w:cs="Montserrat Medium"/>
          <w:color w:val="000000"/>
          <w:lang w:val="fr-FR"/>
        </w:rPr>
      </w:pPr>
      <w:r>
        <w:rPr>
          <w:rFonts w:ascii="Montserrat" w:hAnsi="Montserrat" w:cs="Montserrat Medium"/>
          <w:color w:val="000000"/>
          <w:lang w:val="fr-FR"/>
        </w:rPr>
        <w:t>Enlace COCODI</w:t>
      </w:r>
    </w:p>
    <w:p w14:paraId="15D89265" w14:textId="77777777" w:rsidR="00174940" w:rsidRPr="00FE2F46" w:rsidRDefault="00174940" w:rsidP="00174940">
      <w:pPr>
        <w:spacing w:after="0"/>
        <w:rPr>
          <w:rFonts w:ascii="Montserrat" w:hAnsi="Montserrat"/>
          <w:lang w:val="fr-FR"/>
        </w:rPr>
      </w:pPr>
    </w:p>
    <w:p w14:paraId="0054F530" w14:textId="77777777" w:rsidR="0076104D" w:rsidRPr="00FE2F46" w:rsidRDefault="0076104D" w:rsidP="0076104D">
      <w:pPr>
        <w:spacing w:after="0"/>
        <w:rPr>
          <w:rFonts w:ascii="Montserrat" w:hAnsi="Montserrat"/>
          <w:lang w:val="fr-FR"/>
        </w:rPr>
      </w:pPr>
    </w:p>
    <w:sectPr w:rsidR="0076104D" w:rsidRPr="00FE2F46" w:rsidSect="00761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C2E7" w14:textId="77777777" w:rsidR="004109DE" w:rsidRDefault="004109DE" w:rsidP="005A6D84">
      <w:pPr>
        <w:spacing w:after="0" w:line="240" w:lineRule="auto"/>
      </w:pPr>
      <w:r>
        <w:separator/>
      </w:r>
    </w:p>
  </w:endnote>
  <w:endnote w:type="continuationSeparator" w:id="0">
    <w:p w14:paraId="30C6F9F2" w14:textId="77777777" w:rsidR="004109DE" w:rsidRDefault="004109DE" w:rsidP="005A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F4E5" w14:textId="77777777" w:rsidR="005F0C17" w:rsidRDefault="005F0C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207461"/>
      <w:docPartObj>
        <w:docPartGallery w:val="Page Numbers (Bottom of Page)"/>
        <w:docPartUnique/>
      </w:docPartObj>
    </w:sdtPr>
    <w:sdtEndPr>
      <w:rPr>
        <w:rFonts w:ascii="Montserrat" w:hAnsi="Montserrat"/>
        <w:sz w:val="20"/>
        <w:szCs w:val="20"/>
      </w:rPr>
    </w:sdtEndPr>
    <w:sdtContent>
      <w:p w14:paraId="4500684D" w14:textId="262F4114" w:rsidR="00B462C8" w:rsidRPr="00B462C8" w:rsidRDefault="00B462C8">
        <w:pPr>
          <w:pStyle w:val="Piedepgina"/>
          <w:jc w:val="center"/>
          <w:rPr>
            <w:rFonts w:ascii="Montserrat" w:hAnsi="Montserrat"/>
            <w:sz w:val="20"/>
            <w:szCs w:val="20"/>
          </w:rPr>
        </w:pPr>
        <w:r w:rsidRPr="00B462C8">
          <w:rPr>
            <w:rFonts w:ascii="Montserrat" w:hAnsi="Montserrat"/>
            <w:sz w:val="20"/>
            <w:szCs w:val="20"/>
          </w:rPr>
          <w:fldChar w:fldCharType="begin"/>
        </w:r>
        <w:r w:rsidRPr="00B462C8">
          <w:rPr>
            <w:rFonts w:ascii="Montserrat" w:hAnsi="Montserrat"/>
            <w:sz w:val="20"/>
            <w:szCs w:val="20"/>
          </w:rPr>
          <w:instrText>PAGE   \* MERGEFORMAT</w:instrText>
        </w:r>
        <w:r w:rsidRPr="00B462C8">
          <w:rPr>
            <w:rFonts w:ascii="Montserrat" w:hAnsi="Montserrat"/>
            <w:sz w:val="20"/>
            <w:szCs w:val="20"/>
          </w:rPr>
          <w:fldChar w:fldCharType="separate"/>
        </w:r>
        <w:r w:rsidRPr="00B462C8">
          <w:rPr>
            <w:rFonts w:ascii="Montserrat" w:hAnsi="Montserrat"/>
            <w:sz w:val="20"/>
            <w:szCs w:val="20"/>
            <w:lang w:val="es-ES"/>
          </w:rPr>
          <w:t>2</w:t>
        </w:r>
        <w:r w:rsidRPr="00B462C8">
          <w:rPr>
            <w:rFonts w:ascii="Montserrat" w:hAnsi="Montserrat"/>
            <w:sz w:val="20"/>
            <w:szCs w:val="20"/>
          </w:rPr>
          <w:fldChar w:fldCharType="end"/>
        </w:r>
      </w:p>
    </w:sdtContent>
  </w:sdt>
  <w:p w14:paraId="0CF26531" w14:textId="77777777" w:rsidR="00B462C8" w:rsidRDefault="00B462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B4EF" w14:textId="77777777" w:rsidR="005F0C17" w:rsidRDefault="005F0C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5177" w14:textId="77777777" w:rsidR="004109DE" w:rsidRDefault="004109DE" w:rsidP="005A6D84">
      <w:pPr>
        <w:spacing w:after="0" w:line="240" w:lineRule="auto"/>
      </w:pPr>
      <w:r>
        <w:separator/>
      </w:r>
    </w:p>
  </w:footnote>
  <w:footnote w:type="continuationSeparator" w:id="0">
    <w:p w14:paraId="6E779217" w14:textId="77777777" w:rsidR="004109DE" w:rsidRDefault="004109DE" w:rsidP="005A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82DC" w14:textId="77777777" w:rsidR="005F0C17" w:rsidRDefault="005F0C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F565" w14:textId="3A4325A6" w:rsidR="005A6D84" w:rsidRDefault="005F0C1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A2877F" wp14:editId="2A006A94">
          <wp:simplePos x="0" y="0"/>
          <wp:positionH relativeFrom="column">
            <wp:posOffset>-635</wp:posOffset>
          </wp:positionH>
          <wp:positionV relativeFrom="paragraph">
            <wp:posOffset>-312420</wp:posOffset>
          </wp:positionV>
          <wp:extent cx="5822315" cy="1042670"/>
          <wp:effectExtent l="0" t="0" r="698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DF7F2" w14:textId="20DC30A6" w:rsidR="005A6D84" w:rsidRDefault="005A6D84">
    <w:pPr>
      <w:pStyle w:val="Encabezado"/>
    </w:pPr>
  </w:p>
  <w:p w14:paraId="54CB71CB" w14:textId="26824354" w:rsidR="005A6D84" w:rsidRDefault="005A6D84">
    <w:pPr>
      <w:pStyle w:val="Encabezado"/>
    </w:pPr>
  </w:p>
  <w:p w14:paraId="568CF69D" w14:textId="32AB76E0" w:rsidR="005A6D84" w:rsidRDefault="005A6D84">
    <w:pPr>
      <w:pStyle w:val="Encabezado"/>
    </w:pPr>
  </w:p>
  <w:p w14:paraId="67D4579D" w14:textId="77777777" w:rsidR="001F07FA" w:rsidRDefault="001F07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58BF" w14:textId="77777777" w:rsidR="005F0C17" w:rsidRDefault="005F0C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23B"/>
    <w:multiLevelType w:val="hybridMultilevel"/>
    <w:tmpl w:val="341A473A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82799"/>
    <w:multiLevelType w:val="hybridMultilevel"/>
    <w:tmpl w:val="26BC6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D64B4"/>
    <w:multiLevelType w:val="hybridMultilevel"/>
    <w:tmpl w:val="715C6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F5EE0"/>
    <w:multiLevelType w:val="hybridMultilevel"/>
    <w:tmpl w:val="120CD542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3AD4"/>
    <w:multiLevelType w:val="hybridMultilevel"/>
    <w:tmpl w:val="4D9496C0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F07312"/>
    <w:multiLevelType w:val="hybridMultilevel"/>
    <w:tmpl w:val="1206ACEA"/>
    <w:lvl w:ilvl="0" w:tplc="F070B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34E4E"/>
    <w:multiLevelType w:val="hybridMultilevel"/>
    <w:tmpl w:val="A8F0A4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B"/>
    <w:rsid w:val="0003324C"/>
    <w:rsid w:val="0005251C"/>
    <w:rsid w:val="00081E78"/>
    <w:rsid w:val="0009692B"/>
    <w:rsid w:val="00096B75"/>
    <w:rsid w:val="000D0DBB"/>
    <w:rsid w:val="000D27CA"/>
    <w:rsid w:val="000E29D7"/>
    <w:rsid w:val="000F097A"/>
    <w:rsid w:val="00124234"/>
    <w:rsid w:val="0014014F"/>
    <w:rsid w:val="00151E3B"/>
    <w:rsid w:val="00161C8D"/>
    <w:rsid w:val="00174940"/>
    <w:rsid w:val="00182413"/>
    <w:rsid w:val="00191991"/>
    <w:rsid w:val="001A5288"/>
    <w:rsid w:val="001B5F5A"/>
    <w:rsid w:val="001B6A6C"/>
    <w:rsid w:val="001D1B8C"/>
    <w:rsid w:val="001D617D"/>
    <w:rsid w:val="001E7E2F"/>
    <w:rsid w:val="001F07FA"/>
    <w:rsid w:val="001F6BB1"/>
    <w:rsid w:val="00217D69"/>
    <w:rsid w:val="00222C03"/>
    <w:rsid w:val="00226ED9"/>
    <w:rsid w:val="002357C0"/>
    <w:rsid w:val="0024227C"/>
    <w:rsid w:val="00246EFF"/>
    <w:rsid w:val="002553D1"/>
    <w:rsid w:val="002722B6"/>
    <w:rsid w:val="00283967"/>
    <w:rsid w:val="002C51B5"/>
    <w:rsid w:val="002C73ED"/>
    <w:rsid w:val="002F398E"/>
    <w:rsid w:val="00307824"/>
    <w:rsid w:val="00310616"/>
    <w:rsid w:val="00317339"/>
    <w:rsid w:val="0032342A"/>
    <w:rsid w:val="0036122C"/>
    <w:rsid w:val="00363C59"/>
    <w:rsid w:val="00376C1C"/>
    <w:rsid w:val="003A01F8"/>
    <w:rsid w:val="003D519F"/>
    <w:rsid w:val="003D6AF3"/>
    <w:rsid w:val="003E3DDA"/>
    <w:rsid w:val="003E6A5C"/>
    <w:rsid w:val="003F26CF"/>
    <w:rsid w:val="004102A7"/>
    <w:rsid w:val="004109DE"/>
    <w:rsid w:val="00440A85"/>
    <w:rsid w:val="00454518"/>
    <w:rsid w:val="00463EFF"/>
    <w:rsid w:val="00465506"/>
    <w:rsid w:val="00465CEF"/>
    <w:rsid w:val="00497907"/>
    <w:rsid w:val="004B5D5E"/>
    <w:rsid w:val="004B6330"/>
    <w:rsid w:val="004D019C"/>
    <w:rsid w:val="004E5051"/>
    <w:rsid w:val="004E70CF"/>
    <w:rsid w:val="00515F89"/>
    <w:rsid w:val="005639DB"/>
    <w:rsid w:val="005673C1"/>
    <w:rsid w:val="00571BCA"/>
    <w:rsid w:val="00577EA9"/>
    <w:rsid w:val="005912C5"/>
    <w:rsid w:val="005A5462"/>
    <w:rsid w:val="005A6D84"/>
    <w:rsid w:val="005C01CC"/>
    <w:rsid w:val="005C54F1"/>
    <w:rsid w:val="005D0C89"/>
    <w:rsid w:val="005D3192"/>
    <w:rsid w:val="005D5D4F"/>
    <w:rsid w:val="005E6C19"/>
    <w:rsid w:val="005F0C17"/>
    <w:rsid w:val="00602413"/>
    <w:rsid w:val="00671369"/>
    <w:rsid w:val="0068201D"/>
    <w:rsid w:val="00685FA4"/>
    <w:rsid w:val="006C675A"/>
    <w:rsid w:val="006D1B68"/>
    <w:rsid w:val="007035DE"/>
    <w:rsid w:val="00716B80"/>
    <w:rsid w:val="0076104D"/>
    <w:rsid w:val="00777E65"/>
    <w:rsid w:val="0078744E"/>
    <w:rsid w:val="00791CC5"/>
    <w:rsid w:val="007A10A3"/>
    <w:rsid w:val="007B6808"/>
    <w:rsid w:val="007C40BE"/>
    <w:rsid w:val="007E1794"/>
    <w:rsid w:val="007E4529"/>
    <w:rsid w:val="007F6022"/>
    <w:rsid w:val="008429D2"/>
    <w:rsid w:val="00882100"/>
    <w:rsid w:val="00887FFE"/>
    <w:rsid w:val="008954DA"/>
    <w:rsid w:val="008C1D9A"/>
    <w:rsid w:val="008D3A92"/>
    <w:rsid w:val="008F5244"/>
    <w:rsid w:val="009031EB"/>
    <w:rsid w:val="00906E33"/>
    <w:rsid w:val="00923F4F"/>
    <w:rsid w:val="00935F2C"/>
    <w:rsid w:val="009658BF"/>
    <w:rsid w:val="00986F45"/>
    <w:rsid w:val="009950A8"/>
    <w:rsid w:val="00997342"/>
    <w:rsid w:val="009B04D4"/>
    <w:rsid w:val="009D4DE7"/>
    <w:rsid w:val="009F5530"/>
    <w:rsid w:val="00A1070B"/>
    <w:rsid w:val="00A42850"/>
    <w:rsid w:val="00A548D7"/>
    <w:rsid w:val="00A81263"/>
    <w:rsid w:val="00AA1A6B"/>
    <w:rsid w:val="00AB092B"/>
    <w:rsid w:val="00AD7E86"/>
    <w:rsid w:val="00B42941"/>
    <w:rsid w:val="00B462C8"/>
    <w:rsid w:val="00B53AEC"/>
    <w:rsid w:val="00B53E88"/>
    <w:rsid w:val="00B807E8"/>
    <w:rsid w:val="00B807EA"/>
    <w:rsid w:val="00B91F3B"/>
    <w:rsid w:val="00BC09D1"/>
    <w:rsid w:val="00BD60F9"/>
    <w:rsid w:val="00BD7047"/>
    <w:rsid w:val="00C0018C"/>
    <w:rsid w:val="00C05BBE"/>
    <w:rsid w:val="00C06CB7"/>
    <w:rsid w:val="00C1385C"/>
    <w:rsid w:val="00C509B1"/>
    <w:rsid w:val="00C53742"/>
    <w:rsid w:val="00C54F91"/>
    <w:rsid w:val="00C645EE"/>
    <w:rsid w:val="00C838B8"/>
    <w:rsid w:val="00C86AF5"/>
    <w:rsid w:val="00C960C6"/>
    <w:rsid w:val="00CB020B"/>
    <w:rsid w:val="00CB38B8"/>
    <w:rsid w:val="00D2216D"/>
    <w:rsid w:val="00D22256"/>
    <w:rsid w:val="00D34AC7"/>
    <w:rsid w:val="00D41062"/>
    <w:rsid w:val="00D51760"/>
    <w:rsid w:val="00DA783A"/>
    <w:rsid w:val="00DC05A0"/>
    <w:rsid w:val="00DD78E4"/>
    <w:rsid w:val="00DE3049"/>
    <w:rsid w:val="00E04399"/>
    <w:rsid w:val="00E228E7"/>
    <w:rsid w:val="00E47F1F"/>
    <w:rsid w:val="00E7173B"/>
    <w:rsid w:val="00E84F45"/>
    <w:rsid w:val="00EA6F78"/>
    <w:rsid w:val="00EB0DBE"/>
    <w:rsid w:val="00F11EFA"/>
    <w:rsid w:val="00F23011"/>
    <w:rsid w:val="00F246AE"/>
    <w:rsid w:val="00F336E4"/>
    <w:rsid w:val="00F35956"/>
    <w:rsid w:val="00F402B1"/>
    <w:rsid w:val="00F53892"/>
    <w:rsid w:val="00F55D27"/>
    <w:rsid w:val="00F64461"/>
    <w:rsid w:val="00FD53B4"/>
    <w:rsid w:val="00FE2F46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1AB7"/>
  <w15:docId w15:val="{FFC0E8CE-0907-FA4F-817D-15C61172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6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D84"/>
  </w:style>
  <w:style w:type="paragraph" w:styleId="Piedepgina">
    <w:name w:val="footer"/>
    <w:basedOn w:val="Normal"/>
    <w:link w:val="PiedepginaCar"/>
    <w:uiPriority w:val="99"/>
    <w:unhideWhenUsed/>
    <w:rsid w:val="005A6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D84"/>
  </w:style>
  <w:style w:type="paragraph" w:styleId="Prrafodelista">
    <w:name w:val="List Paragraph"/>
    <w:basedOn w:val="Normal"/>
    <w:uiPriority w:val="34"/>
    <w:qFormat/>
    <w:rsid w:val="005A6D8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35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5DE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uentedeprrafopredeter"/>
    <w:rsid w:val="000D27CA"/>
  </w:style>
  <w:style w:type="paragraph" w:styleId="NormalWeb">
    <w:name w:val="Normal (Web)"/>
    <w:basedOn w:val="Normal"/>
    <w:uiPriority w:val="99"/>
    <w:unhideWhenUsed/>
    <w:rsid w:val="00DA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6</cp:revision>
  <dcterms:created xsi:type="dcterms:W3CDTF">2022-01-21T20:09:00Z</dcterms:created>
  <dcterms:modified xsi:type="dcterms:W3CDTF">2022-01-27T18:10:00Z</dcterms:modified>
</cp:coreProperties>
</file>