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8752" w14:textId="4C10078D" w:rsidR="00965EC4" w:rsidRPr="00D95FD9" w:rsidRDefault="002A7767" w:rsidP="005D259C">
      <w:pPr>
        <w:tabs>
          <w:tab w:val="left" w:pos="284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5FD9">
        <w:rPr>
          <w:rFonts w:ascii="Montserrat" w:hAnsi="Montserrat"/>
          <w:b/>
          <w:sz w:val="28"/>
          <w:szCs w:val="28"/>
        </w:rPr>
        <w:t>XII.</w:t>
      </w:r>
      <w:r w:rsidR="00965EC4" w:rsidRPr="00D95FD9">
        <w:rPr>
          <w:rFonts w:ascii="Montserrat" w:hAnsi="Montserrat"/>
          <w:b/>
          <w:sz w:val="28"/>
          <w:szCs w:val="28"/>
        </w:rPr>
        <w:t xml:space="preserve"> </w:t>
      </w:r>
      <w:r w:rsidRPr="00D95FD9">
        <w:rPr>
          <w:rFonts w:ascii="Montserrat" w:hAnsi="Montserrat"/>
          <w:b/>
          <w:sz w:val="28"/>
          <w:szCs w:val="28"/>
        </w:rPr>
        <w:t>Aspectos que inciden en el control interno o en la presentación de actos contrarios a la integridad</w:t>
      </w:r>
    </w:p>
    <w:p w14:paraId="37528756" w14:textId="77777777" w:rsidR="00776ACA" w:rsidRPr="00D95FD9" w:rsidRDefault="00776ACA" w:rsidP="00776A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D04805" w14:textId="04572AE8" w:rsidR="0058368C" w:rsidRPr="00D95FD9" w:rsidRDefault="00834B5C" w:rsidP="00274D4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</w:pPr>
      <w:r w:rsidRPr="00D95FD9">
        <w:rPr>
          <w:rFonts w:ascii="Montserrat" w:eastAsia="Times New Roman" w:hAnsi="Montserrat" w:cs="Arial"/>
          <w:b/>
          <w:bCs/>
          <w:sz w:val="24"/>
          <w:szCs w:val="24"/>
          <w:lang w:val="es-ES" w:eastAsia="es-ES"/>
        </w:rPr>
        <w:t>Quejas y Denuncias, Inconformidades y Procedimientos Administrativos de Responsabilidades.</w:t>
      </w:r>
    </w:p>
    <w:p w14:paraId="0B6789C3" w14:textId="77777777" w:rsidR="0058368C" w:rsidRPr="00024F46" w:rsidRDefault="0058368C" w:rsidP="00973F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14:paraId="385423D6" w14:textId="77777777" w:rsidR="00274D4B" w:rsidRPr="00D95FD9" w:rsidRDefault="00060F81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I. </w:t>
      </w:r>
      <w:r w:rsidR="00134104" w:rsidRPr="00D95FD9">
        <w:rPr>
          <w:rFonts w:ascii="Montserrat" w:eastAsia="Times New Roman" w:hAnsi="Montserrat" w:cs="Arial"/>
          <w:lang w:val="es-ES" w:eastAsia="es-ES"/>
        </w:rPr>
        <w:t>Q</w:t>
      </w:r>
      <w:r w:rsidR="00655653" w:rsidRPr="00D95FD9">
        <w:rPr>
          <w:rFonts w:ascii="Montserrat" w:eastAsia="Times New Roman" w:hAnsi="Montserrat" w:cs="Arial"/>
          <w:lang w:val="es-ES" w:eastAsia="es-ES"/>
        </w:rPr>
        <w:t>uejas y Denuncias</w:t>
      </w:r>
      <w:r w:rsidR="00134104" w:rsidRPr="00D95FD9">
        <w:rPr>
          <w:rFonts w:ascii="Montserrat" w:eastAsia="Times New Roman" w:hAnsi="Montserrat" w:cs="Arial"/>
          <w:lang w:val="es-ES" w:eastAsia="es-ES"/>
        </w:rPr>
        <w:t xml:space="preserve">. </w:t>
      </w:r>
    </w:p>
    <w:p w14:paraId="1E483798" w14:textId="5965AEB1" w:rsidR="00274D4B" w:rsidRPr="00D95FD9" w:rsidRDefault="00274D4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Al inicio del ejercicio 2021 se tenía un inventario de </w:t>
      </w:r>
      <w:r w:rsidR="00C30AB5" w:rsidRPr="00D95FD9">
        <w:rPr>
          <w:rFonts w:ascii="Montserrat" w:eastAsia="Times New Roman" w:hAnsi="Montserrat" w:cs="Arial"/>
          <w:lang w:val="es-ES" w:eastAsia="es-ES"/>
        </w:rPr>
        <w:t>8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asuntos. Durante el mismo ejercicio se recibieron </w:t>
      </w:r>
      <w:r w:rsidR="00C30AB5" w:rsidRPr="00D95FD9">
        <w:rPr>
          <w:rFonts w:ascii="Montserrat" w:eastAsia="Times New Roman" w:hAnsi="Montserrat" w:cs="Arial"/>
          <w:lang w:val="es-ES" w:eastAsia="es-ES"/>
        </w:rPr>
        <w:t>9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denuncias, de las cuales </w:t>
      </w:r>
      <w:r w:rsidR="00565652" w:rsidRPr="00D95FD9">
        <w:rPr>
          <w:rFonts w:ascii="Montserrat" w:eastAsia="Times New Roman" w:hAnsi="Montserrat" w:cs="Arial"/>
          <w:lang w:val="es-ES" w:eastAsia="es-ES"/>
        </w:rPr>
        <w:t>5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fueron recepcionadas en el último trimestre, haciendo un total de </w:t>
      </w:r>
      <w:r w:rsidR="00C30AB5" w:rsidRPr="00D95FD9">
        <w:rPr>
          <w:rFonts w:ascii="Montserrat" w:eastAsia="Times New Roman" w:hAnsi="Montserrat" w:cs="Arial"/>
          <w:lang w:val="es-ES" w:eastAsia="es-ES"/>
        </w:rPr>
        <w:t>17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al cierre del ejercicio.</w:t>
      </w:r>
    </w:p>
    <w:p w14:paraId="6EAA3942" w14:textId="77777777" w:rsidR="00EB16DB" w:rsidRPr="00D95FD9" w:rsidRDefault="00EB16D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436F66D" w14:textId="4402FAF5" w:rsidR="007F08A3" w:rsidRPr="00D95FD9" w:rsidRDefault="00274D4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softHyphen/>
      </w:r>
      <w:r w:rsidRPr="00D95FD9">
        <w:rPr>
          <w:rFonts w:ascii="Montserrat" w:eastAsia="Times New Roman" w:hAnsi="Montserrat" w:cs="Arial"/>
          <w:lang w:val="es-ES" w:eastAsia="es-ES"/>
        </w:rPr>
        <w:softHyphen/>
        <w:t>Del total acumulado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se concluyeron </w:t>
      </w:r>
      <w:r w:rsidR="00C30AB5" w:rsidRPr="00D95FD9">
        <w:rPr>
          <w:rFonts w:ascii="Montserrat" w:eastAsia="Times New Roman" w:hAnsi="Montserrat" w:cs="Arial"/>
          <w:lang w:val="es-ES" w:eastAsia="es-ES"/>
        </w:rPr>
        <w:t>10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denuncias</w:t>
      </w:r>
      <w:r w:rsidR="008A3B16" w:rsidRPr="00D95FD9">
        <w:rPr>
          <w:rFonts w:ascii="Montserrat" w:eastAsia="Times New Roman" w:hAnsi="Montserrat" w:cs="Arial"/>
          <w:lang w:val="es-ES" w:eastAsia="es-ES"/>
        </w:rPr>
        <w:t xml:space="preserve">, de las cuales </w:t>
      </w:r>
      <w:r w:rsidR="00565652" w:rsidRPr="00D95FD9">
        <w:rPr>
          <w:rFonts w:ascii="Montserrat" w:eastAsia="Times New Roman" w:hAnsi="Montserrat" w:cs="Arial"/>
          <w:lang w:val="es-ES" w:eastAsia="es-ES"/>
        </w:rPr>
        <w:t>3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fue</w:t>
      </w:r>
      <w:r w:rsidR="000529B6" w:rsidRPr="00D95FD9">
        <w:rPr>
          <w:rFonts w:ascii="Montserrat" w:eastAsia="Times New Roman" w:hAnsi="Montserrat" w:cs="Arial"/>
          <w:lang w:val="es-ES" w:eastAsia="es-ES"/>
        </w:rPr>
        <w:t>ron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concluidas durante el cuarto trimestre. De las concluidas </w:t>
      </w:r>
      <w:r w:rsidR="00DD1A57" w:rsidRPr="00D95FD9">
        <w:rPr>
          <w:rFonts w:ascii="Montserrat" w:eastAsia="Times New Roman" w:hAnsi="Montserrat" w:cs="Arial"/>
          <w:lang w:val="es-ES" w:eastAsia="es-ES"/>
        </w:rPr>
        <w:t>6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fueron mediante acuerdo de archivo por falta de elementos, </w:t>
      </w:r>
      <w:r w:rsidR="00DD1A57" w:rsidRPr="00D95FD9">
        <w:rPr>
          <w:rFonts w:ascii="Montserrat" w:eastAsia="Times New Roman" w:hAnsi="Montserrat" w:cs="Arial"/>
          <w:lang w:val="es-ES" w:eastAsia="es-ES"/>
        </w:rPr>
        <w:t>2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a través de acuerdo de incompetencia y </w:t>
      </w:r>
      <w:r w:rsidR="00E07631" w:rsidRPr="00D95FD9">
        <w:rPr>
          <w:rFonts w:ascii="Montserrat" w:eastAsia="Times New Roman" w:hAnsi="Montserrat" w:cs="Arial"/>
          <w:lang w:val="es-ES" w:eastAsia="es-ES"/>
        </w:rPr>
        <w:t>2</w:t>
      </w:r>
      <w:r w:rsidR="007F08A3" w:rsidRPr="00D95FD9">
        <w:rPr>
          <w:rFonts w:ascii="Montserrat" w:eastAsia="Times New Roman" w:hAnsi="Montserrat" w:cs="Arial"/>
          <w:lang w:val="es-ES" w:eastAsia="es-ES"/>
        </w:rPr>
        <w:t xml:space="preserve"> mediante Informe de Presunta Responsabilidad Administrativa.</w:t>
      </w:r>
    </w:p>
    <w:p w14:paraId="6A386216" w14:textId="77777777" w:rsidR="00EB16DB" w:rsidRPr="00D95FD9" w:rsidRDefault="00EB16DB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32F44789" w14:textId="36106B70" w:rsidR="007F08A3" w:rsidRPr="00D95FD9" w:rsidRDefault="007F08A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>Por lo que, al cierre del ejercicio 2021 se encuentran 7 asuntos en etapa de investigación</w:t>
      </w:r>
      <w:r w:rsidR="00A4371E" w:rsidRPr="00D95FD9">
        <w:rPr>
          <w:rFonts w:ascii="Montserrat" w:eastAsia="Times New Roman" w:hAnsi="Montserrat" w:cs="Arial"/>
          <w:lang w:val="es-ES" w:eastAsia="es-ES"/>
        </w:rPr>
        <w:t xml:space="preserve"> (1 de 2019, 1 de 2020 y 5 de 2021)</w:t>
      </w:r>
      <w:r w:rsidRPr="00D95FD9">
        <w:rPr>
          <w:rFonts w:ascii="Montserrat" w:eastAsia="Times New Roman" w:hAnsi="Montserrat" w:cs="Arial"/>
          <w:lang w:val="es-ES" w:eastAsia="es-ES"/>
        </w:rPr>
        <w:t xml:space="preserve">, </w:t>
      </w:r>
      <w:r w:rsidR="00CC4DBD" w:rsidRPr="00D95FD9">
        <w:rPr>
          <w:rFonts w:ascii="Montserrat" w:eastAsia="Times New Roman" w:hAnsi="Montserrat" w:cs="Arial"/>
          <w:lang w:val="es-ES" w:eastAsia="es-ES"/>
        </w:rPr>
        <w:t xml:space="preserve">de los cuales </w:t>
      </w:r>
      <w:r w:rsidR="00A4371E" w:rsidRPr="00D95FD9">
        <w:rPr>
          <w:rFonts w:ascii="Montserrat" w:eastAsia="Times New Roman" w:hAnsi="Montserrat" w:cs="Arial"/>
          <w:lang w:val="es-ES" w:eastAsia="es-ES"/>
        </w:rPr>
        <w:t>3</w:t>
      </w:r>
      <w:r w:rsidR="00CC4DBD" w:rsidRPr="00D95FD9">
        <w:rPr>
          <w:rFonts w:ascii="Montserrat" w:eastAsia="Times New Roman" w:hAnsi="Montserrat" w:cs="Arial"/>
          <w:lang w:val="es-ES" w:eastAsia="es-ES"/>
        </w:rPr>
        <w:t xml:space="preserve"> se encuentran proyectados con Informe de Presunta Responsabilidad Administrativa para ser turnados a la autoridad Substanciadora y/o Resolutora</w:t>
      </w:r>
      <w:r w:rsidR="00DD1A57" w:rsidRPr="00D95FD9">
        <w:rPr>
          <w:rFonts w:ascii="Montserrat" w:eastAsia="Times New Roman" w:hAnsi="Montserrat" w:cs="Arial"/>
          <w:lang w:val="es-ES" w:eastAsia="es-ES"/>
        </w:rPr>
        <w:t>, incluyendo el de 2019 y 2 de 2021</w:t>
      </w:r>
      <w:r w:rsidR="00CC4DBD" w:rsidRPr="00D95FD9">
        <w:rPr>
          <w:rFonts w:ascii="Montserrat" w:eastAsia="Times New Roman" w:hAnsi="Montserrat" w:cs="Arial"/>
          <w:lang w:val="es-ES" w:eastAsia="es-ES"/>
        </w:rPr>
        <w:t>. Así mismo</w:t>
      </w:r>
      <w:r w:rsidR="00A4371E" w:rsidRPr="00D95FD9">
        <w:rPr>
          <w:rFonts w:ascii="Montserrat" w:eastAsia="Times New Roman" w:hAnsi="Montserrat" w:cs="Arial"/>
          <w:lang w:val="es-ES" w:eastAsia="es-ES"/>
        </w:rPr>
        <w:t>,</w:t>
      </w:r>
      <w:r w:rsidR="00CC4DBD" w:rsidRPr="00D95FD9">
        <w:rPr>
          <w:rFonts w:ascii="Montserrat" w:eastAsia="Times New Roman" w:hAnsi="Montserrat" w:cs="Arial"/>
          <w:lang w:val="es-ES" w:eastAsia="es-ES"/>
        </w:rPr>
        <w:t xml:space="preserve"> </w:t>
      </w:r>
      <w:r w:rsidR="00DD1A57" w:rsidRPr="00D95FD9">
        <w:rPr>
          <w:rFonts w:ascii="Montserrat" w:eastAsia="Times New Roman" w:hAnsi="Montserrat" w:cs="Arial"/>
          <w:lang w:val="es-ES" w:eastAsia="es-ES"/>
        </w:rPr>
        <w:t>el asunto de 2020</w:t>
      </w:r>
      <w:r w:rsidR="00CC4DBD" w:rsidRPr="00D95FD9">
        <w:rPr>
          <w:rFonts w:ascii="Montserrat" w:eastAsia="Times New Roman" w:hAnsi="Montserrat" w:cs="Arial"/>
          <w:lang w:val="es-ES" w:eastAsia="es-ES"/>
        </w:rPr>
        <w:t xml:space="preserve"> se encuentra pendiente de resolver por parte del Tribunal Federal de Justicia Administrativa a través de la Sala Auxiliar Especializada </w:t>
      </w:r>
      <w:r w:rsidR="00A4371E" w:rsidRPr="00D95FD9">
        <w:rPr>
          <w:rFonts w:ascii="Montserrat" w:eastAsia="Times New Roman" w:hAnsi="Montserrat" w:cs="Arial"/>
          <w:lang w:val="es-ES" w:eastAsia="es-ES"/>
        </w:rPr>
        <w:t xml:space="preserve">en Materia de Responsabilidades Administrativas Graves, al haberse interpuesto el </w:t>
      </w:r>
      <w:r w:rsidR="00565652" w:rsidRPr="00D95FD9">
        <w:rPr>
          <w:rFonts w:ascii="Montserrat" w:eastAsia="Times New Roman" w:hAnsi="Montserrat" w:cs="Arial"/>
          <w:lang w:val="es-ES" w:eastAsia="es-ES"/>
        </w:rPr>
        <w:t>R</w:t>
      </w:r>
      <w:r w:rsidR="00A4371E" w:rsidRPr="00D95FD9">
        <w:rPr>
          <w:rFonts w:ascii="Montserrat" w:eastAsia="Times New Roman" w:hAnsi="Montserrat" w:cs="Arial"/>
          <w:lang w:val="es-ES" w:eastAsia="es-ES"/>
        </w:rPr>
        <w:t xml:space="preserve">ecurso de </w:t>
      </w:r>
      <w:r w:rsidR="00565652" w:rsidRPr="00D95FD9">
        <w:rPr>
          <w:rFonts w:ascii="Montserrat" w:eastAsia="Times New Roman" w:hAnsi="Montserrat" w:cs="Arial"/>
          <w:lang w:val="es-ES" w:eastAsia="es-ES"/>
        </w:rPr>
        <w:t>I</w:t>
      </w:r>
      <w:r w:rsidR="00A4371E" w:rsidRPr="00D95FD9">
        <w:rPr>
          <w:rFonts w:ascii="Montserrat" w:eastAsia="Times New Roman" w:hAnsi="Montserrat" w:cs="Arial"/>
          <w:lang w:val="es-ES" w:eastAsia="es-ES"/>
        </w:rPr>
        <w:t>nconformidad en contra del Acuerdo de Calificación, se estima que podría ser resuelto en el primer trimestre de 2022.</w:t>
      </w:r>
    </w:p>
    <w:p w14:paraId="44042F8D" w14:textId="77777777" w:rsidR="007F08A3" w:rsidRPr="00D95FD9" w:rsidRDefault="007F08A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A3BE6ED" w14:textId="1A1A3E14" w:rsidR="00116919" w:rsidRPr="00D95FD9" w:rsidRDefault="00134104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Cabe señalar que </w:t>
      </w:r>
      <w:r w:rsidR="00B106F1" w:rsidRPr="00D95FD9">
        <w:rPr>
          <w:rFonts w:ascii="Montserrat" w:eastAsia="Times New Roman" w:hAnsi="Montserrat" w:cs="Arial"/>
          <w:lang w:val="es-ES" w:eastAsia="es-ES"/>
        </w:rPr>
        <w:t>los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</w:t>
      </w:r>
      <w:r w:rsidR="00116919" w:rsidRPr="00D95FD9">
        <w:rPr>
          <w:rFonts w:ascii="Montserrat" w:eastAsia="Times New Roman" w:hAnsi="Montserrat" w:cs="Arial"/>
          <w:lang w:val="es-ES" w:eastAsia="es-ES"/>
        </w:rPr>
        <w:t xml:space="preserve">asuntos </w:t>
      </w:r>
      <w:r w:rsidR="00B106F1" w:rsidRPr="00D95FD9">
        <w:rPr>
          <w:rFonts w:ascii="Montserrat" w:eastAsia="Times New Roman" w:hAnsi="Montserrat" w:cs="Arial"/>
          <w:lang w:val="es-ES" w:eastAsia="es-ES"/>
        </w:rPr>
        <w:t xml:space="preserve">en trámite </w:t>
      </w:r>
      <w:r w:rsidR="00116919" w:rsidRPr="00D95FD9">
        <w:rPr>
          <w:rFonts w:ascii="Montserrat" w:eastAsia="Times New Roman" w:hAnsi="Montserrat" w:cs="Arial"/>
          <w:lang w:val="es-ES" w:eastAsia="es-ES"/>
        </w:rPr>
        <w:t xml:space="preserve">conciernen a hechos que derivan de presuntas infracciones a procesos ubicados en diversas </w:t>
      </w:r>
      <w:r w:rsidR="00085F49" w:rsidRPr="00D95FD9">
        <w:rPr>
          <w:rFonts w:ascii="Montserrat" w:eastAsia="Times New Roman" w:hAnsi="Montserrat" w:cs="Arial"/>
          <w:lang w:val="es-ES" w:eastAsia="es-ES"/>
        </w:rPr>
        <w:t>á</w:t>
      </w:r>
      <w:r w:rsidR="00116919" w:rsidRPr="00D95FD9">
        <w:rPr>
          <w:rFonts w:ascii="Montserrat" w:eastAsia="Times New Roman" w:hAnsi="Montserrat" w:cs="Arial"/>
          <w:lang w:val="es-ES" w:eastAsia="es-ES"/>
        </w:rPr>
        <w:t>rea</w:t>
      </w:r>
      <w:r w:rsidR="00085F49" w:rsidRPr="00D95FD9">
        <w:rPr>
          <w:rFonts w:ascii="Montserrat" w:eastAsia="Times New Roman" w:hAnsi="Montserrat" w:cs="Arial"/>
          <w:lang w:val="es-ES" w:eastAsia="es-ES"/>
        </w:rPr>
        <w:t>s</w:t>
      </w:r>
      <w:r w:rsidR="00116919" w:rsidRPr="00D95FD9">
        <w:rPr>
          <w:rFonts w:ascii="Montserrat" w:eastAsia="Times New Roman" w:hAnsi="Montserrat" w:cs="Arial"/>
          <w:lang w:val="es-ES" w:eastAsia="es-ES"/>
        </w:rPr>
        <w:t>:</w:t>
      </w:r>
    </w:p>
    <w:p w14:paraId="4B31C393" w14:textId="1F49164C" w:rsidR="00C72FD8" w:rsidRPr="00D95FD9" w:rsidRDefault="00A92DE6" w:rsidP="00A72F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4 </w:t>
      </w:r>
      <w:r w:rsidR="0054106F" w:rsidRPr="00D95FD9">
        <w:rPr>
          <w:rFonts w:ascii="Montserrat" w:eastAsia="Times New Roman" w:hAnsi="Montserrat" w:cs="Arial"/>
          <w:lang w:val="es-ES" w:eastAsia="es-ES"/>
        </w:rPr>
        <w:t>d</w:t>
      </w:r>
      <w:r w:rsidR="00C72FD8" w:rsidRPr="00D95FD9">
        <w:rPr>
          <w:rFonts w:ascii="Montserrat" w:eastAsia="Times New Roman" w:hAnsi="Montserrat" w:cs="Arial"/>
          <w:lang w:val="es-ES" w:eastAsia="es-ES"/>
        </w:rPr>
        <w:t>enuncia</w:t>
      </w:r>
      <w:r w:rsidR="00A72FCA" w:rsidRPr="00D95FD9">
        <w:rPr>
          <w:rFonts w:ascii="Montserrat" w:eastAsia="Times New Roman" w:hAnsi="Montserrat" w:cs="Arial"/>
          <w:lang w:val="es-ES" w:eastAsia="es-ES"/>
        </w:rPr>
        <w:t>s</w:t>
      </w:r>
      <w:r w:rsidR="00C72FD8" w:rsidRPr="00D95FD9">
        <w:rPr>
          <w:rFonts w:ascii="Montserrat" w:eastAsia="Times New Roman" w:hAnsi="Montserrat" w:cs="Arial"/>
          <w:lang w:val="es-ES" w:eastAsia="es-ES"/>
        </w:rPr>
        <w:t xml:space="preserve"> deriva</w:t>
      </w:r>
      <w:r w:rsidR="00A72FCA" w:rsidRPr="00D95FD9">
        <w:rPr>
          <w:rFonts w:ascii="Montserrat" w:eastAsia="Times New Roman" w:hAnsi="Montserrat" w:cs="Arial"/>
          <w:lang w:val="es-ES" w:eastAsia="es-ES"/>
        </w:rPr>
        <w:t>n</w:t>
      </w:r>
      <w:r w:rsidR="00C72FD8" w:rsidRPr="00D95FD9">
        <w:rPr>
          <w:rFonts w:ascii="Montserrat" w:eastAsia="Times New Roman" w:hAnsi="Montserrat" w:cs="Arial"/>
          <w:lang w:val="es-ES" w:eastAsia="es-ES"/>
        </w:rPr>
        <w:t xml:space="preserve"> de supuest</w:t>
      </w:r>
      <w:r w:rsidR="00A72FCA" w:rsidRPr="00D95FD9">
        <w:rPr>
          <w:rFonts w:ascii="Montserrat" w:eastAsia="Times New Roman" w:hAnsi="Montserrat" w:cs="Arial"/>
          <w:lang w:val="es-ES" w:eastAsia="es-ES"/>
        </w:rPr>
        <w:t xml:space="preserve">a negligencia </w:t>
      </w:r>
      <w:r w:rsidR="00AB2044" w:rsidRPr="00D95FD9">
        <w:rPr>
          <w:rFonts w:ascii="Montserrat" w:eastAsia="Times New Roman" w:hAnsi="Montserrat" w:cs="Arial"/>
          <w:lang w:val="es-ES" w:eastAsia="es-ES"/>
        </w:rPr>
        <w:t>administrativa, incumplimiento</w:t>
      </w:r>
      <w:r w:rsidR="0019032C" w:rsidRPr="00D95FD9">
        <w:rPr>
          <w:rFonts w:ascii="Montserrat" w:eastAsia="Times New Roman" w:hAnsi="Montserrat" w:cs="Arial"/>
          <w:lang w:val="es-ES" w:eastAsia="es-ES"/>
        </w:rPr>
        <w:t xml:space="preserve"> normativo e</w:t>
      </w:r>
      <w:r w:rsidR="0054106F" w:rsidRPr="00D95FD9">
        <w:rPr>
          <w:rFonts w:ascii="Montserrat" w:eastAsia="Times New Roman" w:hAnsi="Montserrat" w:cs="Arial"/>
          <w:lang w:val="es-ES" w:eastAsia="es-ES"/>
        </w:rPr>
        <w:t xml:space="preserve"> incumplimiento en las funciones encomendadas,</w:t>
      </w:r>
      <w:r w:rsidR="00A72FCA" w:rsidRPr="00D95FD9">
        <w:rPr>
          <w:rFonts w:ascii="Montserrat" w:eastAsia="Times New Roman" w:hAnsi="Montserrat" w:cs="Arial"/>
          <w:lang w:val="es-ES" w:eastAsia="es-ES"/>
        </w:rPr>
        <w:t xml:space="preserve"> que inciden en </w:t>
      </w:r>
      <w:r w:rsidR="00B106F1" w:rsidRPr="00D95FD9">
        <w:rPr>
          <w:rFonts w:ascii="Montserrat" w:eastAsia="Times New Roman" w:hAnsi="Montserrat" w:cs="Arial"/>
          <w:lang w:val="es-ES" w:eastAsia="es-ES"/>
        </w:rPr>
        <w:t>el Área Administrativa.</w:t>
      </w:r>
    </w:p>
    <w:p w14:paraId="70D625AC" w14:textId="222DC329" w:rsidR="0054106F" w:rsidRPr="00D95FD9" w:rsidRDefault="00A92DE6" w:rsidP="00E16C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>2 denuncias</w:t>
      </w:r>
      <w:r w:rsidR="00CE515F" w:rsidRPr="00D95FD9">
        <w:rPr>
          <w:rFonts w:ascii="Montserrat" w:eastAsia="Times New Roman" w:hAnsi="Montserrat" w:cs="Arial"/>
          <w:lang w:val="es-ES" w:eastAsia="es-ES"/>
        </w:rPr>
        <w:t xml:space="preserve"> deriva</w:t>
      </w:r>
      <w:r w:rsidRPr="00D95FD9">
        <w:rPr>
          <w:rFonts w:ascii="Montserrat" w:eastAsia="Times New Roman" w:hAnsi="Montserrat" w:cs="Arial"/>
          <w:lang w:val="es-ES" w:eastAsia="es-ES"/>
        </w:rPr>
        <w:t>n de</w:t>
      </w:r>
      <w:r w:rsidR="0054106F" w:rsidRPr="00D95FD9">
        <w:rPr>
          <w:rFonts w:ascii="Montserrat" w:eastAsia="Times New Roman" w:hAnsi="Montserrat" w:cs="Arial"/>
          <w:lang w:val="es-ES" w:eastAsia="es-ES"/>
        </w:rPr>
        <w:t xml:space="preserve"> </w:t>
      </w:r>
      <w:r w:rsidR="00A72FCA" w:rsidRPr="00D95FD9">
        <w:rPr>
          <w:rFonts w:ascii="Montserrat" w:eastAsia="Times New Roman" w:hAnsi="Montserrat" w:cs="Arial"/>
          <w:lang w:val="es-ES" w:eastAsia="es-ES"/>
        </w:rPr>
        <w:t>supuest</w:t>
      </w:r>
      <w:r w:rsidR="0054106F" w:rsidRPr="00D95FD9">
        <w:rPr>
          <w:rFonts w:ascii="Montserrat" w:eastAsia="Times New Roman" w:hAnsi="Montserrat" w:cs="Arial"/>
          <w:lang w:val="es-ES" w:eastAsia="es-ES"/>
        </w:rPr>
        <w:t>a falta de observancia en disciplina y respeto, e incumplimiento normativo, que incide en la Coordinación General de Posgrado.</w:t>
      </w:r>
    </w:p>
    <w:p w14:paraId="50A4ADA5" w14:textId="5EFC380B" w:rsidR="00D95F31" w:rsidRPr="00D95FD9" w:rsidRDefault="00D95F31" w:rsidP="00E16C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1 denuncia deriva de presuntos actos </w:t>
      </w:r>
      <w:r w:rsidR="00E07631" w:rsidRPr="00D95FD9">
        <w:rPr>
          <w:rFonts w:ascii="Montserrat" w:eastAsia="Times New Roman" w:hAnsi="Montserrat" w:cs="Arial"/>
          <w:lang w:val="es-ES" w:eastAsia="es-ES"/>
        </w:rPr>
        <w:t xml:space="preserve">de </w:t>
      </w:r>
      <w:r w:rsidRPr="00D95FD9">
        <w:rPr>
          <w:rFonts w:ascii="Montserrat" w:eastAsia="Times New Roman" w:hAnsi="Montserrat" w:cs="Arial"/>
          <w:lang w:val="es-ES" w:eastAsia="es-ES"/>
        </w:rPr>
        <w:t>discrimina</w:t>
      </w:r>
      <w:r w:rsidR="00E07631" w:rsidRPr="00D95FD9">
        <w:rPr>
          <w:rFonts w:ascii="Montserrat" w:eastAsia="Times New Roman" w:hAnsi="Montserrat" w:cs="Arial"/>
          <w:lang w:val="es-ES" w:eastAsia="es-ES"/>
        </w:rPr>
        <w:t>ción</w:t>
      </w:r>
      <w:r w:rsidR="00EB16DB" w:rsidRPr="00D95FD9">
        <w:rPr>
          <w:rFonts w:ascii="Montserrat" w:eastAsia="Times New Roman" w:hAnsi="Montserrat" w:cs="Arial"/>
          <w:lang w:val="es-ES" w:eastAsia="es-ES"/>
        </w:rPr>
        <w:t xml:space="preserve"> que incide en la Coordinación Académica.</w:t>
      </w:r>
    </w:p>
    <w:p w14:paraId="40090919" w14:textId="034AFCDC" w:rsidR="0054106F" w:rsidRPr="00D95FD9" w:rsidRDefault="0054106F" w:rsidP="0054106F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 w:eastAsia="es-ES"/>
        </w:rPr>
      </w:pPr>
    </w:p>
    <w:p w14:paraId="667D8BE3" w14:textId="11C99C62" w:rsidR="00116919" w:rsidRDefault="00116919" w:rsidP="00116919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El total de </w:t>
      </w:r>
      <w:r w:rsidR="00223164" w:rsidRPr="00D95FD9">
        <w:rPr>
          <w:rFonts w:ascii="Montserrat" w:eastAsia="Times New Roman" w:hAnsi="Montserrat" w:cs="Arial"/>
          <w:lang w:val="es-ES" w:eastAsia="es-ES"/>
        </w:rPr>
        <w:t>los asuntos</w:t>
      </w:r>
      <w:r w:rsidRPr="00D95FD9">
        <w:rPr>
          <w:rFonts w:ascii="Montserrat" w:eastAsia="Times New Roman" w:hAnsi="Montserrat" w:cs="Arial"/>
          <w:lang w:val="es-ES" w:eastAsia="es-ES"/>
        </w:rPr>
        <w:t xml:space="preserve"> se refleja estadísticamente de la siguiente manera</w:t>
      </w:r>
      <w:r w:rsidR="00D95FD9">
        <w:rPr>
          <w:rFonts w:ascii="Candara" w:eastAsia="Times New Roman" w:hAnsi="Candara" w:cs="Arial"/>
          <w:sz w:val="24"/>
          <w:szCs w:val="24"/>
          <w:lang w:val="es-ES" w:eastAsia="es-ES"/>
        </w:rPr>
        <w:t>:</w:t>
      </w:r>
    </w:p>
    <w:p w14:paraId="7E811ECF" w14:textId="77777777" w:rsidR="00D95FD9" w:rsidRPr="00024F46" w:rsidRDefault="00D95FD9" w:rsidP="00116919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val="es-ES" w:eastAsia="es-ES"/>
        </w:rPr>
      </w:pPr>
    </w:p>
    <w:p w14:paraId="0AC85365" w14:textId="77777777" w:rsidR="00A9032B" w:rsidRDefault="00A9032B" w:rsidP="00116919">
      <w:pPr>
        <w:spacing w:after="0" w:line="240" w:lineRule="auto"/>
        <w:jc w:val="both"/>
        <w:rPr>
          <w:rFonts w:ascii="Candara" w:eastAsia="Times New Roman" w:hAnsi="Candara" w:cs="Arial"/>
          <w:lang w:val="es-ES" w:eastAsia="es-ES"/>
        </w:rPr>
      </w:pPr>
    </w:p>
    <w:tbl>
      <w:tblPr>
        <w:tblW w:w="52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51"/>
        <w:gridCol w:w="851"/>
        <w:gridCol w:w="992"/>
        <w:gridCol w:w="994"/>
        <w:gridCol w:w="1121"/>
        <w:gridCol w:w="1276"/>
        <w:gridCol w:w="1141"/>
        <w:gridCol w:w="1269"/>
      </w:tblGrid>
      <w:tr w:rsidR="0054106F" w:rsidRPr="000D42E8" w14:paraId="503A357E" w14:textId="77777777" w:rsidTr="00F2765B">
        <w:trPr>
          <w:trHeight w:val="274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9D114" w14:textId="77777777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lastRenderedPageBreak/>
              <w:t>ASUNTO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C4AD" w14:textId="12DD3D61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ASUNTOS DEL AÑO 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201</w:t>
            </w:r>
            <w:r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9994B" w14:textId="1D4AB447" w:rsidR="0054106F" w:rsidRPr="00A9032B" w:rsidRDefault="0054106F" w:rsidP="006B63A2">
            <w:pPr>
              <w:jc w:val="center"/>
              <w:rPr>
                <w:rFonts w:ascii="Candara" w:hAnsi="Candara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ASUNTOS DEL AÑO 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20</w:t>
            </w:r>
            <w:r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42DEF" w14:textId="66725B50" w:rsidR="0054106F" w:rsidRPr="00A9032B" w:rsidRDefault="008109EE" w:rsidP="006B63A2">
            <w:pPr>
              <w:jc w:val="center"/>
              <w:rPr>
                <w:rFonts w:ascii="Candara" w:hAnsi="Candara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ASUNTOS </w:t>
            </w:r>
            <w:r w:rsidR="005A2BA3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RECIBIDO 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DEL</w:t>
            </w:r>
            <w:r w:rsidR="005A2BA3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 01/01 AL 30/09/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20</w:t>
            </w:r>
            <w:r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B8BCC" w14:textId="5139D57F" w:rsidR="0054106F" w:rsidRPr="00A9032B" w:rsidRDefault="0054106F" w:rsidP="00A9032B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RECIBIDAS DEL 01/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10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 AL 3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1/12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/20</w:t>
            </w:r>
            <w:r w:rsidR="00906DF9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32B39" w14:textId="3C6A8031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ACUMULADAS AL 3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/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12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/20</w:t>
            </w:r>
            <w:r w:rsidR="00906DF9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E38" w14:textId="1B7A35B6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SITUACIÓN AL 3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/</w:t>
            </w:r>
            <w:r w:rsidR="00EB16D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12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/20</w:t>
            </w:r>
            <w:r w:rsidR="00D25B33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2</w:t>
            </w:r>
            <w:r w:rsidR="008109EE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</w:t>
            </w:r>
          </w:p>
        </w:tc>
      </w:tr>
      <w:tr w:rsidR="0054106F" w:rsidRPr="000D42E8" w14:paraId="324D8948" w14:textId="77777777" w:rsidTr="00F2765B">
        <w:trPr>
          <w:trHeight w:val="567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2DF" w14:textId="77777777" w:rsidR="0054106F" w:rsidRPr="000D42E8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585" w14:textId="77777777" w:rsidR="0054106F" w:rsidRPr="000D42E8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CD2" w14:textId="77777777" w:rsidR="0054106F" w:rsidRPr="000D42E8" w:rsidRDefault="0054106F" w:rsidP="006B63A2">
            <w:pPr>
              <w:jc w:val="center"/>
              <w:rPr>
                <w:rFonts w:ascii="Candara" w:hAnsi="Candara"/>
                <w:sz w:val="14"/>
                <w:szCs w:val="14"/>
                <w:lang w:val="es-ES" w:eastAsia="es-E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75B" w14:textId="338ABCCC" w:rsidR="0054106F" w:rsidRPr="000D42E8" w:rsidRDefault="0054106F" w:rsidP="006B63A2">
            <w:pPr>
              <w:jc w:val="center"/>
              <w:rPr>
                <w:rFonts w:ascii="Candara" w:hAnsi="Candara"/>
                <w:sz w:val="14"/>
                <w:szCs w:val="14"/>
                <w:lang w:val="es-ES" w:eastAsia="es-E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EE5" w14:textId="77777777" w:rsidR="0054106F" w:rsidRPr="000D42E8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850" w14:textId="606EE122" w:rsidR="0054106F" w:rsidRPr="000D42E8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57E8" w14:textId="3CCCA71A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CONCLUIDAS POR FALTA DE ELEMENTOS</w:t>
            </w:r>
            <w:r w:rsidR="00906DF9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 E INCOMPETENCIA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2485" w14:textId="5D8B184A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TURNADAS A RESPONSABILI</w:t>
            </w:r>
            <w:r w:rsidR="00F2765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-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DADES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55C9" w14:textId="77777777" w:rsidR="00F2765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EN </w:t>
            </w:r>
          </w:p>
          <w:p w14:paraId="3984AF80" w14:textId="3C2FB995" w:rsidR="0054106F" w:rsidRPr="00A9032B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/>
              </w:rPr>
            </w:pP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 xml:space="preserve"> INVESTIGACI</w:t>
            </w:r>
            <w:r w:rsidR="002D1E0D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O</w:t>
            </w:r>
            <w:r w:rsidRPr="00A9032B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N</w:t>
            </w:r>
          </w:p>
        </w:tc>
      </w:tr>
      <w:tr w:rsidR="00906DF9" w:rsidRPr="0019032C" w14:paraId="1B977308" w14:textId="77777777" w:rsidTr="00F2765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6971" w14:textId="77777777" w:rsidR="0054106F" w:rsidRPr="0019032C" w:rsidRDefault="0054106F" w:rsidP="006B63A2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Quejas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F88" w14:textId="77777777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53F" w14:textId="482E9C71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B6E" w14:textId="1BCEECE5" w:rsidR="0054106F" w:rsidRPr="0019032C" w:rsidRDefault="008109EE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C9" w14:textId="2EAEB750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1CB" w14:textId="0CA53CFE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C3E" w14:textId="77777777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BE55" w14:textId="77777777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ADCD" w14:textId="77777777" w:rsidR="0054106F" w:rsidRPr="0019032C" w:rsidRDefault="0054106F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0</w:t>
            </w:r>
          </w:p>
        </w:tc>
      </w:tr>
      <w:tr w:rsidR="00906DF9" w:rsidRPr="0019032C" w14:paraId="570136E9" w14:textId="77777777" w:rsidTr="00F2765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06B" w14:textId="77777777" w:rsidR="0054106F" w:rsidRPr="0019032C" w:rsidRDefault="0054106F" w:rsidP="006B63A2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Denuncias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96D" w14:textId="56513579" w:rsidR="0054106F" w:rsidRPr="0019032C" w:rsidRDefault="00EB16DB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B5A9" w14:textId="6486A074" w:rsidR="0054106F" w:rsidRPr="0019032C" w:rsidRDefault="00DD1A57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0C" w14:textId="7F22D349" w:rsidR="0054106F" w:rsidRPr="0019032C" w:rsidRDefault="0019032C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</w:pPr>
            <w:r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F39" w14:textId="75CD239F" w:rsidR="0054106F" w:rsidRPr="0019032C" w:rsidRDefault="0019032C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204" w14:textId="07859CF2" w:rsidR="0054106F" w:rsidRPr="0019032C" w:rsidRDefault="00DD1A57" w:rsidP="00DD1A5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6D" w14:textId="5EF3D562" w:rsidR="0054106F" w:rsidRPr="0019032C" w:rsidRDefault="00DD1A57" w:rsidP="00833755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2F7" w14:textId="5D8FA808" w:rsidR="0054106F" w:rsidRPr="0019032C" w:rsidRDefault="0070263A" w:rsidP="00833755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3E0D" w14:textId="647B1CB7" w:rsidR="0054106F" w:rsidRPr="0019032C" w:rsidRDefault="00223164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/>
              </w:rPr>
              <w:t>7</w:t>
            </w:r>
          </w:p>
        </w:tc>
      </w:tr>
      <w:tr w:rsidR="00906DF9" w:rsidRPr="000D42E8" w14:paraId="63946528" w14:textId="77777777" w:rsidTr="00F2765B">
        <w:trPr>
          <w:trHeight w:val="27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FB5" w14:textId="77777777" w:rsidR="0054106F" w:rsidRPr="0019032C" w:rsidRDefault="0054106F" w:rsidP="006B63A2">
            <w:pPr>
              <w:spacing w:after="0" w:line="240" w:lineRule="auto"/>
              <w:rPr>
                <w:rFonts w:ascii="Candara" w:eastAsia="Times New Roman" w:hAnsi="Candara" w:cs="Arial"/>
                <w:sz w:val="14"/>
                <w:szCs w:val="14"/>
                <w:lang w:val="es-ES"/>
              </w:rPr>
            </w:pPr>
            <w:r w:rsidRPr="0019032C">
              <w:rPr>
                <w:rFonts w:ascii="Candara" w:eastAsia="Times New Roman" w:hAnsi="Candara" w:cs="Arial"/>
                <w:sz w:val="14"/>
                <w:szCs w:val="14"/>
                <w:lang w:val="es-ES" w:eastAsia="es-ES"/>
              </w:rPr>
              <w:t>Totales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254A" w14:textId="05D8430C" w:rsidR="0054106F" w:rsidRPr="0019032C" w:rsidRDefault="005A2BA3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AD8" w14:textId="4B4DEEA3" w:rsidR="0054106F" w:rsidRPr="0019032C" w:rsidRDefault="00DD1A57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5E4" w14:textId="7E2AA7B2" w:rsidR="0054106F" w:rsidRPr="0019032C" w:rsidRDefault="0019032C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</w:pPr>
            <w:r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38F" w14:textId="02468D0E" w:rsidR="0054106F" w:rsidRPr="0019032C" w:rsidRDefault="0019032C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</w:pPr>
            <w:r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388" w14:textId="6DAFA329" w:rsidR="0054106F" w:rsidRPr="0019032C" w:rsidRDefault="00DD1A57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 w:eastAsia="es-ES"/>
              </w:rPr>
              <w:t>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E217" w14:textId="0613489F" w:rsidR="0054106F" w:rsidRPr="0019032C" w:rsidRDefault="00DD1A57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598" w14:textId="6617846E" w:rsidR="0054106F" w:rsidRPr="0019032C" w:rsidRDefault="0070263A" w:rsidP="0083375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5EDE" w14:textId="2167AEF6" w:rsidR="0054106F" w:rsidRPr="0019032C" w:rsidRDefault="00223164" w:rsidP="006B63A2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</w:pPr>
            <w:r w:rsidRPr="0019032C">
              <w:rPr>
                <w:rFonts w:ascii="Candara" w:eastAsia="Times New Roman" w:hAnsi="Candara" w:cs="Arial"/>
                <w:b/>
                <w:sz w:val="14"/>
                <w:szCs w:val="14"/>
                <w:u w:val="single"/>
                <w:lang w:val="es-ES"/>
              </w:rPr>
              <w:t>7</w:t>
            </w:r>
          </w:p>
        </w:tc>
      </w:tr>
    </w:tbl>
    <w:p w14:paraId="4233FA65" w14:textId="77777777" w:rsidR="00A9032B" w:rsidRPr="00116919" w:rsidRDefault="00A9032B" w:rsidP="00116919">
      <w:pPr>
        <w:spacing w:after="0" w:line="240" w:lineRule="auto"/>
        <w:jc w:val="both"/>
        <w:rPr>
          <w:rFonts w:ascii="Candara" w:eastAsia="Times New Roman" w:hAnsi="Candara" w:cs="Arial"/>
          <w:lang w:val="es-ES" w:eastAsia="es-ES"/>
        </w:rPr>
      </w:pPr>
    </w:p>
    <w:p w14:paraId="5112DCA2" w14:textId="77777777" w:rsidR="001651F6" w:rsidRDefault="001651F6" w:rsidP="00116919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val="es-ES" w:eastAsia="es-ES"/>
        </w:rPr>
      </w:pPr>
    </w:p>
    <w:p w14:paraId="69A1F559" w14:textId="3FBBDAE1" w:rsidR="00655653" w:rsidRPr="00D95FD9" w:rsidRDefault="0065565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>II. Inconformidades. No se tienen radicados en el Órgano Interno de Control asuntos de esta naturaleza.</w:t>
      </w:r>
    </w:p>
    <w:p w14:paraId="24C8C899" w14:textId="45C46DC6" w:rsidR="00655653" w:rsidRPr="00D95FD9" w:rsidRDefault="0065565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1BB416C1" w14:textId="1147675D" w:rsidR="00655653" w:rsidRPr="00D95FD9" w:rsidRDefault="00655653" w:rsidP="0011691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  <w:r w:rsidRPr="00D95FD9">
        <w:rPr>
          <w:rFonts w:ascii="Montserrat" w:eastAsia="Times New Roman" w:hAnsi="Montserrat" w:cs="Arial"/>
          <w:lang w:val="es-ES" w:eastAsia="es-ES"/>
        </w:rPr>
        <w:t xml:space="preserve">III. Procedimientos Administrativos de Responsabilidades. Los asuntos que derivan en Informe de Presunta </w:t>
      </w:r>
      <w:r w:rsidR="00223164" w:rsidRPr="00D95FD9">
        <w:rPr>
          <w:rFonts w:ascii="Montserrat" w:eastAsia="Times New Roman" w:hAnsi="Montserrat" w:cs="Arial"/>
          <w:lang w:val="es-ES" w:eastAsia="es-ES"/>
        </w:rPr>
        <w:t>R</w:t>
      </w:r>
      <w:r w:rsidRPr="00D95FD9">
        <w:rPr>
          <w:rFonts w:ascii="Montserrat" w:eastAsia="Times New Roman" w:hAnsi="Montserrat" w:cs="Arial"/>
          <w:lang w:val="es-ES" w:eastAsia="es-ES"/>
        </w:rPr>
        <w:t>esponsabilidad Administrativa son remitidos al Órgano Interno de Control del Consejo Nacional de Ciencia y Tecnología de conformidad a lo establecido en el Acuerdo por el que se encomienda el ejercicio de las facultades que se indican a los titulares de los órganos internos de control en el Consejo Nacional de Ciencia y Tecnología y en la Secretaría de Gobernación, publicado en el Diario Oficial de la Federación el 19 de octubre de 2018. Por lo que este ente fiscalizador no cuenta con asuntos de esta índole.</w:t>
      </w:r>
    </w:p>
    <w:p w14:paraId="5FA443B5" w14:textId="77777777" w:rsidR="000514B4" w:rsidRPr="00D95FD9" w:rsidRDefault="000514B4" w:rsidP="000514B4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7383EFEF" w14:textId="5CFD7ADA" w:rsidR="00834B5C" w:rsidRPr="00D95FD9" w:rsidRDefault="000514B4" w:rsidP="00B704C7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D95FD9">
        <w:rPr>
          <w:rFonts w:ascii="Montserrat" w:eastAsia="Times New Roman" w:hAnsi="Montserrat" w:cs="Arial"/>
          <w:b/>
          <w:bCs/>
          <w:lang w:val="es-ES" w:eastAsia="es-ES"/>
        </w:rPr>
        <w:t xml:space="preserve">b) </w:t>
      </w:r>
      <w:r w:rsidR="00834B5C" w:rsidRPr="00D95FD9">
        <w:rPr>
          <w:rFonts w:ascii="Montserrat" w:hAnsi="Montserrat"/>
          <w:b/>
          <w:bCs/>
          <w:iCs/>
        </w:rPr>
        <w:t>Observaciones de instancias fiscalizadoras recurrentes y pendientes de solventar</w:t>
      </w:r>
      <w:r w:rsidR="00B704C7" w:rsidRPr="00D95FD9">
        <w:rPr>
          <w:rFonts w:ascii="Montserrat" w:hAnsi="Montserrat"/>
          <w:b/>
          <w:bCs/>
          <w:iCs/>
        </w:rPr>
        <w:t>.</w:t>
      </w:r>
    </w:p>
    <w:p w14:paraId="304C8FFE" w14:textId="77777777" w:rsidR="00834B5C" w:rsidRPr="00D95FD9" w:rsidRDefault="00834B5C" w:rsidP="007D6A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ES"/>
        </w:rPr>
      </w:pPr>
    </w:p>
    <w:p w14:paraId="5583885C" w14:textId="26D42E43" w:rsidR="0006586C" w:rsidRPr="00D95FD9" w:rsidRDefault="007D6A7C" w:rsidP="007D6A7C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 xml:space="preserve">Al </w:t>
      </w:r>
      <w:r w:rsidR="00223164" w:rsidRPr="00D95FD9">
        <w:rPr>
          <w:rFonts w:ascii="Montserrat" w:hAnsi="Montserrat" w:cs="Arial"/>
        </w:rPr>
        <w:t xml:space="preserve">inicio del ejercicio 2021 se tenía un inventario de </w:t>
      </w:r>
      <w:r w:rsidR="005D00F4" w:rsidRPr="00D95FD9">
        <w:rPr>
          <w:rFonts w:ascii="Montserrat" w:hAnsi="Montserrat" w:cs="Arial"/>
        </w:rPr>
        <w:t>11</w:t>
      </w:r>
      <w:r w:rsidR="00223164" w:rsidRPr="00D95FD9">
        <w:rPr>
          <w:rFonts w:ascii="Montserrat" w:hAnsi="Montserrat" w:cs="Arial"/>
        </w:rPr>
        <w:t xml:space="preserve"> observaciones </w:t>
      </w:r>
      <w:r w:rsidRPr="00D95FD9">
        <w:rPr>
          <w:rFonts w:ascii="Montserrat" w:hAnsi="Montserrat" w:cs="Arial"/>
        </w:rPr>
        <w:t>pendientes de atender</w:t>
      </w:r>
      <w:r w:rsidR="0006586C" w:rsidRPr="00D95FD9">
        <w:rPr>
          <w:rFonts w:ascii="Montserrat" w:hAnsi="Montserrat" w:cs="Arial"/>
        </w:rPr>
        <w:t xml:space="preserve">. Asimismo, </w:t>
      </w:r>
      <w:r w:rsidRPr="00D95FD9">
        <w:rPr>
          <w:rFonts w:ascii="Montserrat" w:hAnsi="Montserrat" w:cs="Arial"/>
        </w:rPr>
        <w:t xml:space="preserve">durante el </w:t>
      </w:r>
      <w:r w:rsidR="0006586C" w:rsidRPr="00D95FD9">
        <w:rPr>
          <w:rFonts w:ascii="Montserrat" w:hAnsi="Montserrat" w:cs="Arial"/>
        </w:rPr>
        <w:t xml:space="preserve">mismo ejercicio se emitieron </w:t>
      </w:r>
      <w:r w:rsidR="005D00F4" w:rsidRPr="00D95FD9">
        <w:rPr>
          <w:rFonts w:ascii="Montserrat" w:hAnsi="Montserrat" w:cs="Arial"/>
        </w:rPr>
        <w:t>6</w:t>
      </w:r>
      <w:r w:rsidR="0006586C" w:rsidRPr="00D95FD9">
        <w:rPr>
          <w:rFonts w:ascii="Montserrat" w:hAnsi="Montserrat" w:cs="Arial"/>
        </w:rPr>
        <w:t xml:space="preserve"> observaciones</w:t>
      </w:r>
      <w:r w:rsidR="005D00F4" w:rsidRPr="00D95FD9">
        <w:rPr>
          <w:rFonts w:ascii="Montserrat" w:hAnsi="Montserrat" w:cs="Arial"/>
        </w:rPr>
        <w:t xml:space="preserve"> por parte del Órgano Interno de Control y 1 por el Despacho de Auditoría Externa</w:t>
      </w:r>
      <w:r w:rsidR="0006586C" w:rsidRPr="00D95FD9">
        <w:rPr>
          <w:rFonts w:ascii="Montserrat" w:hAnsi="Montserrat" w:cs="Arial"/>
        </w:rPr>
        <w:t>, de las c</w:t>
      </w:r>
      <w:r w:rsidR="002171FD" w:rsidRPr="00D95FD9">
        <w:rPr>
          <w:rFonts w:ascii="Montserrat" w:hAnsi="Montserrat" w:cs="Arial"/>
        </w:rPr>
        <w:t>u</w:t>
      </w:r>
      <w:r w:rsidR="0006586C" w:rsidRPr="00D95FD9">
        <w:rPr>
          <w:rFonts w:ascii="Montserrat" w:hAnsi="Montserrat" w:cs="Arial"/>
        </w:rPr>
        <w:t xml:space="preserve">ales </w:t>
      </w:r>
      <w:r w:rsidR="005D00F4" w:rsidRPr="00D95FD9">
        <w:rPr>
          <w:rFonts w:ascii="Montserrat" w:hAnsi="Montserrat" w:cs="Arial"/>
        </w:rPr>
        <w:t>3</w:t>
      </w:r>
      <w:r w:rsidR="0006586C" w:rsidRPr="00D95FD9">
        <w:rPr>
          <w:rFonts w:ascii="Montserrat" w:hAnsi="Montserrat" w:cs="Arial"/>
        </w:rPr>
        <w:t xml:space="preserve"> fueron determinadas en el último trimestre</w:t>
      </w:r>
      <w:r w:rsidR="00454E53" w:rsidRPr="00D95FD9">
        <w:rPr>
          <w:rFonts w:ascii="Montserrat" w:hAnsi="Montserrat" w:cs="Arial"/>
        </w:rPr>
        <w:t>, haciendo un total acumulado de 18 observaciones</w:t>
      </w:r>
      <w:r w:rsidR="00B72AA8" w:rsidRPr="00D95FD9">
        <w:rPr>
          <w:rFonts w:ascii="Montserrat" w:hAnsi="Montserrat" w:cs="Arial"/>
        </w:rPr>
        <w:t>.</w:t>
      </w:r>
    </w:p>
    <w:p w14:paraId="68B53DFB" w14:textId="0C17B9F4" w:rsidR="00B72AA8" w:rsidRPr="00D95FD9" w:rsidRDefault="00B72AA8" w:rsidP="007D6A7C">
      <w:pPr>
        <w:spacing w:after="0" w:line="240" w:lineRule="auto"/>
        <w:jc w:val="both"/>
        <w:rPr>
          <w:rFonts w:ascii="Montserrat" w:hAnsi="Montserrat" w:cs="Arial"/>
        </w:rPr>
      </w:pPr>
    </w:p>
    <w:p w14:paraId="5A92289C" w14:textId="07BB7E24" w:rsidR="007D6A7C" w:rsidRPr="00D95FD9" w:rsidRDefault="00281C63" w:rsidP="007D6A7C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Del total de observaciones</w:t>
      </w:r>
      <w:r w:rsidR="00DD7D8D" w:rsidRPr="00D95FD9">
        <w:rPr>
          <w:rFonts w:ascii="Montserrat" w:hAnsi="Montserrat" w:cs="Arial"/>
        </w:rPr>
        <w:t>,</w:t>
      </w:r>
      <w:r w:rsidRPr="00D95FD9">
        <w:rPr>
          <w:rFonts w:ascii="Montserrat" w:hAnsi="Montserrat" w:cs="Arial"/>
        </w:rPr>
        <w:t xml:space="preserve"> durante el ejercicio 2021 se atendieron </w:t>
      </w:r>
      <w:r w:rsidR="00CC261C" w:rsidRPr="00D95FD9">
        <w:rPr>
          <w:rFonts w:ascii="Montserrat" w:hAnsi="Montserrat" w:cs="Arial"/>
        </w:rPr>
        <w:t>13</w:t>
      </w:r>
      <w:r w:rsidRPr="00D95FD9">
        <w:rPr>
          <w:rFonts w:ascii="Montserrat" w:hAnsi="Montserrat" w:cs="Arial"/>
        </w:rPr>
        <w:t xml:space="preserve">; por lo que al cierre del ejercicio se tienen 5 observaciones pendientes de solventar, las cuales </w:t>
      </w:r>
      <w:r w:rsidR="00DD7D8D" w:rsidRPr="00D95FD9">
        <w:rPr>
          <w:rFonts w:ascii="Montserrat" w:hAnsi="Montserrat" w:cs="Arial"/>
        </w:rPr>
        <w:t xml:space="preserve">se </w:t>
      </w:r>
      <w:r w:rsidR="007D6A7C" w:rsidRPr="00D95FD9">
        <w:rPr>
          <w:rFonts w:ascii="Montserrat" w:hAnsi="Montserrat" w:cs="Arial"/>
        </w:rPr>
        <w:t>detalla</w:t>
      </w:r>
      <w:r w:rsidR="00FD0DF1" w:rsidRPr="00D95FD9">
        <w:rPr>
          <w:rFonts w:ascii="Montserrat" w:hAnsi="Montserrat" w:cs="Arial"/>
        </w:rPr>
        <w:t>n</w:t>
      </w:r>
      <w:r w:rsidR="00DD7D8D" w:rsidRPr="00D95FD9">
        <w:rPr>
          <w:rFonts w:ascii="Montserrat" w:hAnsi="Montserrat" w:cs="Arial"/>
        </w:rPr>
        <w:t xml:space="preserve"> a continuación</w:t>
      </w:r>
      <w:r w:rsidR="007D6A7C" w:rsidRPr="00D95FD9">
        <w:rPr>
          <w:rFonts w:ascii="Montserrat" w:hAnsi="Montserrat" w:cs="Arial"/>
        </w:rPr>
        <w:t>:</w:t>
      </w:r>
    </w:p>
    <w:p w14:paraId="375A7E4A" w14:textId="77777777" w:rsidR="00AB2044" w:rsidRPr="007D6A7C" w:rsidRDefault="00AB2044" w:rsidP="00FD0DF1">
      <w:pPr>
        <w:tabs>
          <w:tab w:val="left" w:pos="6302"/>
        </w:tabs>
        <w:ind w:left="-284"/>
        <w:jc w:val="both"/>
        <w:rPr>
          <w:rFonts w:ascii="Candara" w:hAnsi="Candara" w:cs="Arial"/>
          <w:sz w:val="24"/>
          <w:szCs w:val="2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616"/>
        <w:gridCol w:w="1741"/>
        <w:gridCol w:w="1904"/>
        <w:gridCol w:w="1619"/>
      </w:tblGrid>
      <w:tr w:rsidR="001B2444" w:rsidRPr="00D95FD9" w14:paraId="1FF0E3EC" w14:textId="77777777" w:rsidTr="001B2444">
        <w:trPr>
          <w:trHeight w:val="748"/>
          <w:jc w:val="center"/>
        </w:trPr>
        <w:tc>
          <w:tcPr>
            <w:tcW w:w="1067" w:type="pct"/>
          </w:tcPr>
          <w:p w14:paraId="37B584A7" w14:textId="7F315539" w:rsidR="001B2444" w:rsidRPr="00D95FD9" w:rsidRDefault="001B2444" w:rsidP="001B2444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Instancia fiscalizadora</w:t>
            </w:r>
          </w:p>
        </w:tc>
        <w:tc>
          <w:tcPr>
            <w:tcW w:w="982" w:type="pct"/>
          </w:tcPr>
          <w:p w14:paraId="49AEDE66" w14:textId="77777777" w:rsidR="001B2444" w:rsidRPr="00D95FD9" w:rsidRDefault="001B2444" w:rsidP="001B2444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Saldo inicial</w:t>
            </w:r>
          </w:p>
          <w:p w14:paraId="5496BFD4" w14:textId="7943DA0C" w:rsidR="001B2444" w:rsidRPr="00D95FD9" w:rsidRDefault="001B2444" w:rsidP="001B2444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820" w:type="pct"/>
          </w:tcPr>
          <w:p w14:paraId="67986B5E" w14:textId="1FA8B2F0" w:rsidR="001B2444" w:rsidRPr="00D95FD9" w:rsidRDefault="001B2444" w:rsidP="001B2444">
            <w:pPr>
              <w:tabs>
                <w:tab w:val="left" w:pos="169"/>
              </w:tabs>
              <w:ind w:left="-284" w:firstLine="169"/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Determinadas al</w:t>
            </w:r>
          </w:p>
          <w:p w14:paraId="4F1C4CE7" w14:textId="7726A724" w:rsidR="001B2444" w:rsidRPr="00D95FD9" w:rsidRDefault="001B2444" w:rsidP="001B2444">
            <w:pPr>
              <w:tabs>
                <w:tab w:val="left" w:pos="169"/>
              </w:tabs>
              <w:ind w:left="-284" w:firstLine="169"/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31/12/2021</w:t>
            </w:r>
          </w:p>
        </w:tc>
        <w:tc>
          <w:tcPr>
            <w:tcW w:w="1148" w:type="pct"/>
          </w:tcPr>
          <w:p w14:paraId="3F5CA902" w14:textId="7E3A88E3" w:rsidR="001B2444" w:rsidRPr="00D95FD9" w:rsidRDefault="001B2444" w:rsidP="001B2444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Atendidas al 31/12/2021</w:t>
            </w:r>
          </w:p>
        </w:tc>
        <w:tc>
          <w:tcPr>
            <w:tcW w:w="983" w:type="pct"/>
          </w:tcPr>
          <w:p w14:paraId="60CC7D54" w14:textId="58098AED" w:rsidR="001B2444" w:rsidRPr="00D95FD9" w:rsidRDefault="001B2444" w:rsidP="001B2444">
            <w:pPr>
              <w:ind w:left="-284"/>
              <w:jc w:val="center"/>
              <w:rPr>
                <w:rFonts w:ascii="Montserrat" w:hAnsi="Montserrat" w:cs="Arial"/>
                <w:b/>
                <w:bCs/>
              </w:rPr>
            </w:pPr>
            <w:r w:rsidRPr="00D95FD9">
              <w:rPr>
                <w:rFonts w:ascii="Montserrat" w:hAnsi="Montserrat" w:cs="Arial"/>
                <w:b/>
                <w:bCs/>
              </w:rPr>
              <w:t>Saldo fin</w:t>
            </w:r>
            <w:r w:rsidRPr="00D95FD9">
              <w:rPr>
                <w:rFonts w:ascii="Montserrat" w:hAnsi="Montserrat" w:cs="Arial"/>
                <w:b/>
                <w:bCs/>
              </w:rPr>
              <w:softHyphen/>
            </w:r>
            <w:r w:rsidRPr="00D95FD9">
              <w:rPr>
                <w:rFonts w:ascii="Montserrat" w:hAnsi="Montserrat" w:cs="Arial"/>
                <w:b/>
                <w:bCs/>
              </w:rPr>
              <w:softHyphen/>
            </w:r>
            <w:r w:rsidRPr="00D95FD9">
              <w:rPr>
                <w:rFonts w:ascii="Montserrat" w:hAnsi="Montserrat" w:cs="Arial"/>
                <w:b/>
                <w:bCs/>
              </w:rPr>
              <w:softHyphen/>
              <w:t>al</w:t>
            </w:r>
          </w:p>
        </w:tc>
      </w:tr>
      <w:tr w:rsidR="001B2444" w:rsidRPr="00D95FD9" w14:paraId="77072B3B" w14:textId="77777777" w:rsidTr="001B2444">
        <w:trPr>
          <w:jc w:val="center"/>
        </w:trPr>
        <w:tc>
          <w:tcPr>
            <w:tcW w:w="1067" w:type="pct"/>
          </w:tcPr>
          <w:p w14:paraId="712903C3" w14:textId="77777777" w:rsidR="001B2444" w:rsidRPr="00D95FD9" w:rsidRDefault="001B2444" w:rsidP="001B2444">
            <w:pPr>
              <w:ind w:right="24"/>
              <w:jc w:val="both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 xml:space="preserve">Auditores Externos </w:t>
            </w:r>
          </w:p>
        </w:tc>
        <w:tc>
          <w:tcPr>
            <w:tcW w:w="982" w:type="pct"/>
          </w:tcPr>
          <w:p w14:paraId="4D8255F6" w14:textId="26A27882" w:rsidR="001B2444" w:rsidRPr="00D95FD9" w:rsidRDefault="001B2444" w:rsidP="001B2444">
            <w:pPr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0</w:t>
            </w:r>
          </w:p>
        </w:tc>
        <w:tc>
          <w:tcPr>
            <w:tcW w:w="820" w:type="pct"/>
          </w:tcPr>
          <w:p w14:paraId="1C289D9B" w14:textId="0FA358BC" w:rsidR="001B2444" w:rsidRPr="00D95FD9" w:rsidRDefault="001B2444" w:rsidP="001B2444">
            <w:pPr>
              <w:ind w:left="109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1</w:t>
            </w:r>
          </w:p>
        </w:tc>
        <w:tc>
          <w:tcPr>
            <w:tcW w:w="1148" w:type="pct"/>
          </w:tcPr>
          <w:p w14:paraId="5D32F19D" w14:textId="4FBB093C" w:rsidR="001B2444" w:rsidRPr="00D95FD9" w:rsidRDefault="001B2444" w:rsidP="001B2444">
            <w:pPr>
              <w:ind w:left="25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0</w:t>
            </w:r>
          </w:p>
        </w:tc>
        <w:tc>
          <w:tcPr>
            <w:tcW w:w="983" w:type="pct"/>
          </w:tcPr>
          <w:p w14:paraId="066BF79E" w14:textId="77777777" w:rsidR="001B2444" w:rsidRPr="00D95FD9" w:rsidRDefault="001B2444" w:rsidP="001B2444">
            <w:pPr>
              <w:ind w:left="97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1</w:t>
            </w:r>
          </w:p>
        </w:tc>
      </w:tr>
      <w:tr w:rsidR="001B2444" w:rsidRPr="00D95FD9" w14:paraId="23C97828" w14:textId="77777777" w:rsidTr="001B2444">
        <w:trPr>
          <w:jc w:val="center"/>
        </w:trPr>
        <w:tc>
          <w:tcPr>
            <w:tcW w:w="1067" w:type="pct"/>
          </w:tcPr>
          <w:p w14:paraId="69127788" w14:textId="77777777" w:rsidR="001B2444" w:rsidRPr="00D95FD9" w:rsidRDefault="001B2444" w:rsidP="001B2444">
            <w:pPr>
              <w:ind w:left="38" w:hanging="38"/>
              <w:jc w:val="both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lastRenderedPageBreak/>
              <w:t>Órgano Interno de Control</w:t>
            </w:r>
          </w:p>
        </w:tc>
        <w:tc>
          <w:tcPr>
            <w:tcW w:w="982" w:type="pct"/>
          </w:tcPr>
          <w:p w14:paraId="04809B6A" w14:textId="3C3D40D4" w:rsidR="001B2444" w:rsidRPr="00D95FD9" w:rsidRDefault="00454E53" w:rsidP="001B2444">
            <w:pPr>
              <w:ind w:left="28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11</w:t>
            </w:r>
          </w:p>
        </w:tc>
        <w:tc>
          <w:tcPr>
            <w:tcW w:w="820" w:type="pct"/>
          </w:tcPr>
          <w:p w14:paraId="54D6E069" w14:textId="58353159" w:rsidR="001B2444" w:rsidRPr="00D95FD9" w:rsidRDefault="00454E53" w:rsidP="001B2444">
            <w:pPr>
              <w:ind w:left="109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6</w:t>
            </w:r>
          </w:p>
        </w:tc>
        <w:tc>
          <w:tcPr>
            <w:tcW w:w="1148" w:type="pct"/>
          </w:tcPr>
          <w:p w14:paraId="526C111B" w14:textId="23ABA57C" w:rsidR="001B2444" w:rsidRPr="00D95FD9" w:rsidRDefault="00454E53" w:rsidP="001B2444">
            <w:pPr>
              <w:ind w:left="25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13</w:t>
            </w:r>
          </w:p>
        </w:tc>
        <w:tc>
          <w:tcPr>
            <w:tcW w:w="983" w:type="pct"/>
          </w:tcPr>
          <w:p w14:paraId="16D92768" w14:textId="7A7CE96A" w:rsidR="001B2444" w:rsidRPr="00D95FD9" w:rsidRDefault="001B2444" w:rsidP="001B2444">
            <w:pPr>
              <w:ind w:left="97"/>
              <w:jc w:val="center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4</w:t>
            </w:r>
          </w:p>
        </w:tc>
      </w:tr>
      <w:tr w:rsidR="001B2444" w:rsidRPr="00D95FD9" w14:paraId="15E71E2A" w14:textId="77777777" w:rsidTr="001B2444">
        <w:trPr>
          <w:trHeight w:val="158"/>
          <w:jc w:val="center"/>
        </w:trPr>
        <w:tc>
          <w:tcPr>
            <w:tcW w:w="1067" w:type="pct"/>
          </w:tcPr>
          <w:p w14:paraId="031352ED" w14:textId="77777777" w:rsidR="001B2444" w:rsidRPr="00D95FD9" w:rsidRDefault="001B2444" w:rsidP="001B2444">
            <w:pPr>
              <w:ind w:left="-284"/>
              <w:jc w:val="right"/>
              <w:rPr>
                <w:rFonts w:ascii="Montserrat" w:hAnsi="Montserrat" w:cs="Arial"/>
              </w:rPr>
            </w:pPr>
            <w:r w:rsidRPr="00D95FD9">
              <w:rPr>
                <w:rFonts w:ascii="Montserrat" w:hAnsi="Montserrat" w:cs="Arial"/>
              </w:rPr>
              <w:t>Total</w:t>
            </w:r>
          </w:p>
        </w:tc>
        <w:tc>
          <w:tcPr>
            <w:tcW w:w="982" w:type="pct"/>
          </w:tcPr>
          <w:p w14:paraId="17611103" w14:textId="75219D88" w:rsidR="001B2444" w:rsidRPr="00D95FD9" w:rsidRDefault="00454E53" w:rsidP="001B2444">
            <w:pPr>
              <w:ind w:left="51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D95FD9">
              <w:rPr>
                <w:rFonts w:ascii="Montserrat" w:hAnsi="Montserrat" w:cs="Arial"/>
                <w:b/>
                <w:bCs/>
                <w:u w:val="single"/>
              </w:rPr>
              <w:t>11</w:t>
            </w:r>
          </w:p>
        </w:tc>
        <w:tc>
          <w:tcPr>
            <w:tcW w:w="820" w:type="pct"/>
          </w:tcPr>
          <w:p w14:paraId="01D65B71" w14:textId="6B76A05D" w:rsidR="001B2444" w:rsidRPr="00D95FD9" w:rsidRDefault="00454E53" w:rsidP="001B2444">
            <w:pPr>
              <w:ind w:left="109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D95FD9">
              <w:rPr>
                <w:rFonts w:ascii="Montserrat" w:hAnsi="Montserrat" w:cs="Arial"/>
                <w:b/>
                <w:bCs/>
                <w:u w:val="single"/>
              </w:rPr>
              <w:t>7</w:t>
            </w:r>
          </w:p>
        </w:tc>
        <w:tc>
          <w:tcPr>
            <w:tcW w:w="1148" w:type="pct"/>
          </w:tcPr>
          <w:p w14:paraId="177E9CC6" w14:textId="4E3B6660" w:rsidR="001B2444" w:rsidRPr="00D95FD9" w:rsidRDefault="00454E53" w:rsidP="001B2444">
            <w:pPr>
              <w:ind w:left="25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D95FD9">
              <w:rPr>
                <w:rFonts w:ascii="Montserrat" w:hAnsi="Montserrat" w:cs="Arial"/>
                <w:b/>
                <w:bCs/>
                <w:u w:val="single"/>
              </w:rPr>
              <w:t>13</w:t>
            </w:r>
          </w:p>
        </w:tc>
        <w:tc>
          <w:tcPr>
            <w:tcW w:w="983" w:type="pct"/>
          </w:tcPr>
          <w:p w14:paraId="6F511D8A" w14:textId="7ADC90C1" w:rsidR="001B2444" w:rsidRPr="00D95FD9" w:rsidRDefault="001B2444" w:rsidP="001B2444">
            <w:pPr>
              <w:ind w:left="97"/>
              <w:jc w:val="center"/>
              <w:rPr>
                <w:rFonts w:ascii="Montserrat" w:hAnsi="Montserrat" w:cs="Arial"/>
                <w:b/>
                <w:bCs/>
                <w:u w:val="single"/>
              </w:rPr>
            </w:pPr>
            <w:r w:rsidRPr="00D95FD9">
              <w:rPr>
                <w:rFonts w:ascii="Montserrat" w:hAnsi="Montserrat" w:cs="Arial"/>
                <w:b/>
                <w:bCs/>
                <w:u w:val="single"/>
              </w:rPr>
              <w:t>5</w:t>
            </w:r>
          </w:p>
        </w:tc>
      </w:tr>
    </w:tbl>
    <w:p w14:paraId="5E7CDB71" w14:textId="77777777" w:rsidR="007D6A7C" w:rsidRPr="007D6A7C" w:rsidRDefault="007D6A7C" w:rsidP="00F301D0">
      <w:pPr>
        <w:spacing w:after="0" w:line="240" w:lineRule="auto"/>
        <w:ind w:left="-284"/>
        <w:jc w:val="right"/>
        <w:rPr>
          <w:rFonts w:ascii="Candara" w:hAnsi="Candara" w:cs="Arial"/>
          <w:sz w:val="24"/>
          <w:szCs w:val="24"/>
        </w:rPr>
      </w:pPr>
    </w:p>
    <w:p w14:paraId="49CE09BB" w14:textId="5ACC28EB" w:rsidR="007D6A7C" w:rsidRPr="00D95FD9" w:rsidRDefault="00404A68" w:rsidP="00B74468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Como se puede apreciar, de</w:t>
      </w:r>
      <w:r w:rsidR="007D6A7C" w:rsidRPr="00D95FD9">
        <w:rPr>
          <w:rFonts w:ascii="Montserrat" w:hAnsi="Montserrat" w:cs="Arial"/>
        </w:rPr>
        <w:t>rivado del</w:t>
      </w:r>
      <w:r w:rsidR="00A1216F" w:rsidRPr="00D95FD9">
        <w:rPr>
          <w:rFonts w:ascii="Montserrat" w:hAnsi="Montserrat" w:cs="Arial"/>
        </w:rPr>
        <w:t xml:space="preserve"> seguimiento efectuado durante el </w:t>
      </w:r>
      <w:r w:rsidRPr="00D95FD9">
        <w:rPr>
          <w:rFonts w:ascii="Montserrat" w:hAnsi="Montserrat" w:cs="Arial"/>
        </w:rPr>
        <w:t>ejercicio 2021, se</w:t>
      </w:r>
      <w:r w:rsidR="007D6A7C" w:rsidRPr="00D95FD9">
        <w:rPr>
          <w:rFonts w:ascii="Montserrat" w:hAnsi="Montserrat" w:cs="Arial"/>
        </w:rPr>
        <w:t xml:space="preserve"> solventaron</w:t>
      </w:r>
      <w:r w:rsidR="00454E53" w:rsidRPr="00D95FD9">
        <w:rPr>
          <w:rFonts w:ascii="Montserrat" w:hAnsi="Montserrat" w:cs="Arial"/>
        </w:rPr>
        <w:t xml:space="preserve"> 13</w:t>
      </w:r>
      <w:r w:rsidR="007D6A7C" w:rsidRPr="00D95FD9">
        <w:rPr>
          <w:rFonts w:ascii="Montserrat" w:hAnsi="Montserrat" w:cs="Arial"/>
        </w:rPr>
        <w:t xml:space="preserve"> observaciones, en las cuales las áreas responsables de su solventación realizaron acciones correctivas y preventivas que fortalecieron el control interno de los rubros observados.  </w:t>
      </w:r>
    </w:p>
    <w:p w14:paraId="5C33C78A" w14:textId="77777777" w:rsidR="00B74468" w:rsidRPr="00D95FD9" w:rsidRDefault="00B74468" w:rsidP="00B74468">
      <w:pPr>
        <w:spacing w:after="0" w:line="240" w:lineRule="auto"/>
        <w:jc w:val="both"/>
        <w:rPr>
          <w:rFonts w:ascii="Montserrat" w:hAnsi="Montserrat" w:cs="Arial"/>
        </w:rPr>
      </w:pPr>
    </w:p>
    <w:p w14:paraId="529E398C" w14:textId="222B45BE" w:rsidR="007D6A7C" w:rsidRPr="00D95FD9" w:rsidRDefault="007D6A7C" w:rsidP="00B74468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 xml:space="preserve">La situación de las </w:t>
      </w:r>
      <w:r w:rsidR="00404A68" w:rsidRPr="00D95FD9">
        <w:rPr>
          <w:rFonts w:ascii="Montserrat" w:hAnsi="Montserrat" w:cs="Arial"/>
        </w:rPr>
        <w:t>5</w:t>
      </w:r>
      <w:r w:rsidRPr="00D95FD9">
        <w:rPr>
          <w:rFonts w:ascii="Montserrat" w:hAnsi="Montserrat" w:cs="Arial"/>
        </w:rPr>
        <w:t xml:space="preserve"> observaciones </w:t>
      </w:r>
      <w:r w:rsidR="001651F6" w:rsidRPr="00D95FD9">
        <w:rPr>
          <w:rFonts w:ascii="Montserrat" w:hAnsi="Montserrat" w:cs="Arial"/>
        </w:rPr>
        <w:t>pendientes de atender</w:t>
      </w:r>
      <w:r w:rsidR="008A48AB" w:rsidRPr="00D95FD9">
        <w:rPr>
          <w:rFonts w:ascii="Montserrat" w:hAnsi="Montserrat" w:cs="Arial"/>
        </w:rPr>
        <w:t xml:space="preserve"> </w:t>
      </w:r>
      <w:r w:rsidRPr="00D95FD9">
        <w:rPr>
          <w:rFonts w:ascii="Montserrat" w:hAnsi="Montserrat" w:cs="Arial"/>
        </w:rPr>
        <w:t>es la siguiente</w:t>
      </w:r>
      <w:r w:rsidR="008A48AB" w:rsidRPr="00D95FD9">
        <w:rPr>
          <w:rFonts w:ascii="Montserrat" w:hAnsi="Montserrat" w:cs="Arial"/>
        </w:rPr>
        <w:t>:</w:t>
      </w:r>
    </w:p>
    <w:p w14:paraId="711F5C84" w14:textId="77777777" w:rsidR="0002382A" w:rsidRPr="00024F46" w:rsidRDefault="0002382A" w:rsidP="00B74468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4155"/>
      </w:tblGrid>
      <w:tr w:rsidR="0002382A" w:rsidRPr="00D95FD9" w14:paraId="55201499" w14:textId="77777777" w:rsidTr="003E2B72">
        <w:tc>
          <w:tcPr>
            <w:tcW w:w="1701" w:type="dxa"/>
            <w:shd w:val="clear" w:color="auto" w:fill="BFBFBF" w:themeFill="background1" w:themeFillShade="BF"/>
          </w:tcPr>
          <w:p w14:paraId="2B5E5EAA" w14:textId="77777777" w:rsidR="0002382A" w:rsidRPr="00D95FD9" w:rsidRDefault="0002382A" w:rsidP="003E2B72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No. de Auditoría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627B3E" w14:textId="77777777" w:rsidR="0002382A" w:rsidRPr="00D95FD9" w:rsidRDefault="0002382A" w:rsidP="003E2B72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Nombre y clave de la Auditoría</w:t>
            </w:r>
          </w:p>
        </w:tc>
        <w:tc>
          <w:tcPr>
            <w:tcW w:w="4155" w:type="dxa"/>
            <w:shd w:val="clear" w:color="auto" w:fill="BFBFBF" w:themeFill="background1" w:themeFillShade="BF"/>
          </w:tcPr>
          <w:p w14:paraId="031EF16A" w14:textId="77777777" w:rsidR="0002382A" w:rsidRPr="00D95FD9" w:rsidRDefault="0002382A" w:rsidP="003E2B72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02382A" w:rsidRPr="00D95FD9" w14:paraId="50F3B805" w14:textId="77777777" w:rsidTr="003E2B72">
        <w:tc>
          <w:tcPr>
            <w:tcW w:w="1701" w:type="dxa"/>
          </w:tcPr>
          <w:p w14:paraId="4AC3080D" w14:textId="77777777" w:rsidR="0002382A" w:rsidRPr="00D95FD9" w:rsidRDefault="0002382A" w:rsidP="003E2B72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001/2021</w:t>
            </w:r>
          </w:p>
        </w:tc>
        <w:tc>
          <w:tcPr>
            <w:tcW w:w="2835" w:type="dxa"/>
          </w:tcPr>
          <w:p w14:paraId="3718BCBB" w14:textId="77777777" w:rsidR="0002382A" w:rsidRPr="00D95FD9" w:rsidRDefault="0002382A" w:rsidP="003E2B72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370 “Fideicomisos, Mandatos y Contratos Análogos sin Estructura Orgánica”</w:t>
            </w:r>
          </w:p>
        </w:tc>
        <w:tc>
          <w:tcPr>
            <w:tcW w:w="4155" w:type="dxa"/>
          </w:tcPr>
          <w:p w14:paraId="4B0D1BE3" w14:textId="77777777" w:rsidR="0002382A" w:rsidRPr="00D95FD9" w:rsidRDefault="0002382A" w:rsidP="003E2B72">
            <w:pPr>
              <w:jc w:val="both"/>
              <w:rPr>
                <w:rFonts w:ascii="Montserrat" w:hAnsi="Montserrat" w:cs="Arial"/>
                <w:color w:val="FF0000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Falta de documentación para la extinción total del Fondo de Investigación Científica y Desarrollo Tecnológico de El Colegio de la Frontera Sur (FID-784) (</w:t>
            </w:r>
            <w:r w:rsidRPr="00D95FD9">
              <w:rPr>
                <w:rFonts w:ascii="Montserrat" w:hAnsi="Montserrat" w:cs="Arial"/>
                <w:sz w:val="22"/>
                <w:szCs w:val="22"/>
                <w:lang w:eastAsia="es-ES"/>
              </w:rPr>
              <w:t>Baja del SAT)</w:t>
            </w:r>
          </w:p>
        </w:tc>
      </w:tr>
      <w:tr w:rsidR="0002382A" w:rsidRPr="00D95FD9" w14:paraId="028BAAF4" w14:textId="77777777" w:rsidTr="003E2B72">
        <w:tc>
          <w:tcPr>
            <w:tcW w:w="1701" w:type="dxa"/>
          </w:tcPr>
          <w:p w14:paraId="30E76884" w14:textId="77777777" w:rsidR="0002382A" w:rsidRPr="00D95FD9" w:rsidRDefault="0002382A" w:rsidP="003E2B72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003/2021</w:t>
            </w:r>
          </w:p>
        </w:tc>
        <w:tc>
          <w:tcPr>
            <w:tcW w:w="2835" w:type="dxa"/>
          </w:tcPr>
          <w:p w14:paraId="213F5B1F" w14:textId="77777777" w:rsidR="0002382A" w:rsidRPr="00D95FD9" w:rsidRDefault="0002382A" w:rsidP="003E2B72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210 “Adquisiciones, Arrendamientos y Servicios”</w:t>
            </w:r>
          </w:p>
        </w:tc>
        <w:tc>
          <w:tcPr>
            <w:tcW w:w="4155" w:type="dxa"/>
          </w:tcPr>
          <w:p w14:paraId="4C5C0DD6" w14:textId="5B2D33A1" w:rsidR="0002382A" w:rsidRPr="00D95FD9" w:rsidRDefault="0002382A" w:rsidP="0002382A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Incumplimiento normativo en la aplicación del párrafo cuarto del artículo 42 de la Ley de Adquisiciones, Arrendamientos y Servicios del Sector Público.</w:t>
            </w:r>
          </w:p>
        </w:tc>
      </w:tr>
      <w:tr w:rsidR="0002382A" w:rsidRPr="00D95FD9" w14:paraId="6F879A00" w14:textId="77777777" w:rsidTr="003E2B72">
        <w:tc>
          <w:tcPr>
            <w:tcW w:w="1701" w:type="dxa"/>
          </w:tcPr>
          <w:p w14:paraId="432A0ECF" w14:textId="77777777" w:rsidR="0002382A" w:rsidRPr="00D95FD9" w:rsidRDefault="0002382A" w:rsidP="003E2B72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003/2021</w:t>
            </w:r>
          </w:p>
        </w:tc>
        <w:tc>
          <w:tcPr>
            <w:tcW w:w="2835" w:type="dxa"/>
          </w:tcPr>
          <w:p w14:paraId="3F86EF92" w14:textId="77777777" w:rsidR="0002382A" w:rsidRPr="00D95FD9" w:rsidRDefault="0002382A" w:rsidP="003E2B72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210 “Adquisiciones, Arrendamientos y Servicios”</w:t>
            </w:r>
          </w:p>
        </w:tc>
        <w:tc>
          <w:tcPr>
            <w:tcW w:w="4155" w:type="dxa"/>
          </w:tcPr>
          <w:p w14:paraId="36A192C0" w14:textId="77777777" w:rsidR="0002382A" w:rsidRPr="00D95FD9" w:rsidRDefault="0002382A" w:rsidP="003E2B72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Falta de aplicación de la normatividad vigente en materia de Adquisiciones, Arrendamientos y Servicios en los contratos.</w:t>
            </w:r>
          </w:p>
        </w:tc>
      </w:tr>
      <w:tr w:rsidR="0002382A" w:rsidRPr="00D95FD9" w14:paraId="638F5B27" w14:textId="77777777" w:rsidTr="003E2B72">
        <w:tc>
          <w:tcPr>
            <w:tcW w:w="1701" w:type="dxa"/>
          </w:tcPr>
          <w:p w14:paraId="402BF26D" w14:textId="77777777" w:rsidR="0002382A" w:rsidRPr="00D95FD9" w:rsidRDefault="0002382A" w:rsidP="003E2B72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004/2021</w:t>
            </w:r>
          </w:p>
        </w:tc>
        <w:tc>
          <w:tcPr>
            <w:tcW w:w="2835" w:type="dxa"/>
          </w:tcPr>
          <w:p w14:paraId="71002652" w14:textId="77777777" w:rsidR="0002382A" w:rsidRPr="00D95FD9" w:rsidRDefault="0002382A" w:rsidP="003E2B72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320 “Ingresos”</w:t>
            </w:r>
          </w:p>
        </w:tc>
        <w:tc>
          <w:tcPr>
            <w:tcW w:w="4155" w:type="dxa"/>
          </w:tcPr>
          <w:p w14:paraId="2DCB191E" w14:textId="77777777" w:rsidR="0002382A" w:rsidRPr="00D95FD9" w:rsidRDefault="0002382A" w:rsidP="003E2B72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Falta de control interno en la aplicación de Primas de seguro e indemnizaciones por siniestro, sin acciones para su resarcimiento y adeudos pendientes de recuperar en El Colegio de la Frontera Sur.</w:t>
            </w:r>
          </w:p>
        </w:tc>
      </w:tr>
      <w:tr w:rsidR="0002382A" w:rsidRPr="00D95FD9" w14:paraId="7FE34D7C" w14:textId="77777777" w:rsidTr="003E2B72">
        <w:tc>
          <w:tcPr>
            <w:tcW w:w="1701" w:type="dxa"/>
          </w:tcPr>
          <w:p w14:paraId="0DA8DD69" w14:textId="77777777" w:rsidR="0002382A" w:rsidRPr="00D95FD9" w:rsidRDefault="0002382A" w:rsidP="003E2B72">
            <w:pPr>
              <w:ind w:left="3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006/2021</w:t>
            </w:r>
          </w:p>
        </w:tc>
        <w:tc>
          <w:tcPr>
            <w:tcW w:w="2835" w:type="dxa"/>
          </w:tcPr>
          <w:p w14:paraId="2242AA63" w14:textId="77777777" w:rsidR="0002382A" w:rsidRPr="00D95FD9" w:rsidRDefault="0002382A" w:rsidP="003E2B72">
            <w:pPr>
              <w:ind w:left="36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Auditoría Externa</w:t>
            </w:r>
          </w:p>
        </w:tc>
        <w:tc>
          <w:tcPr>
            <w:tcW w:w="4155" w:type="dxa"/>
          </w:tcPr>
          <w:p w14:paraId="728F5601" w14:textId="5985CEB9" w:rsidR="0002382A" w:rsidRPr="00D95FD9" w:rsidRDefault="0002382A" w:rsidP="003E2B72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Diferencia entre las cifras según contabilidad y las cifras según activo fijo (3,169,096 / 1%) (cifra actual 516,087.46)</w:t>
            </w:r>
          </w:p>
        </w:tc>
      </w:tr>
    </w:tbl>
    <w:p w14:paraId="1B128A01" w14:textId="77777777" w:rsidR="007D6A7C" w:rsidRPr="00024F46" w:rsidRDefault="007D6A7C" w:rsidP="00024F46">
      <w:pPr>
        <w:spacing w:after="0"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14:paraId="47225A43" w14:textId="573E94D3" w:rsidR="007D6A7C" w:rsidRPr="00D95FD9" w:rsidRDefault="00D24C97" w:rsidP="00B74468">
      <w:pPr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lastRenderedPageBreak/>
        <w:t>De acuerdo con</w:t>
      </w:r>
      <w:r w:rsidR="007D6A7C" w:rsidRPr="00D95FD9">
        <w:rPr>
          <w:rFonts w:ascii="Montserrat" w:hAnsi="Montserrat" w:cs="Arial"/>
        </w:rPr>
        <w:t xml:space="preserve"> su antigüedad </w:t>
      </w:r>
      <w:r w:rsidRPr="00D95FD9">
        <w:rPr>
          <w:rFonts w:ascii="Montserrat" w:hAnsi="Montserrat" w:cs="Arial"/>
        </w:rPr>
        <w:t>se representan de la manera siguiente:</w:t>
      </w:r>
    </w:p>
    <w:tbl>
      <w:tblPr>
        <w:tblStyle w:val="Tablaconcuadrcula"/>
        <w:tblW w:w="4897" w:type="pct"/>
        <w:tblInd w:w="-5" w:type="dxa"/>
        <w:tblLook w:val="04A0" w:firstRow="1" w:lastRow="0" w:firstColumn="1" w:lastColumn="0" w:noHBand="0" w:noVBand="1"/>
      </w:tblPr>
      <w:tblGrid>
        <w:gridCol w:w="1560"/>
        <w:gridCol w:w="1876"/>
        <w:gridCol w:w="1952"/>
        <w:gridCol w:w="3258"/>
      </w:tblGrid>
      <w:tr w:rsidR="007D6A7C" w:rsidRPr="00D95FD9" w14:paraId="4A78DCAE" w14:textId="77777777" w:rsidTr="00B74468">
        <w:tc>
          <w:tcPr>
            <w:tcW w:w="3116" w:type="pct"/>
            <w:gridSpan w:val="3"/>
          </w:tcPr>
          <w:p w14:paraId="0BED9BE0" w14:textId="77777777" w:rsidR="007D6A7C" w:rsidRPr="00D95FD9" w:rsidRDefault="007D6A7C" w:rsidP="000821E0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Antigüedad</w:t>
            </w:r>
          </w:p>
        </w:tc>
        <w:tc>
          <w:tcPr>
            <w:tcW w:w="1884" w:type="pct"/>
            <w:vMerge w:val="restart"/>
          </w:tcPr>
          <w:p w14:paraId="3581AA8E" w14:textId="1EEC4C3B" w:rsidR="007D6A7C" w:rsidRPr="00D95FD9" w:rsidRDefault="007D6A7C" w:rsidP="000821E0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Total</w:t>
            </w:r>
            <w:r w:rsidR="003514B8" w:rsidRPr="00D95FD9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r w:rsidRPr="00D95FD9">
              <w:rPr>
                <w:rFonts w:ascii="Montserrat" w:hAnsi="Montserrat" w:cs="Arial"/>
                <w:sz w:val="22"/>
                <w:szCs w:val="22"/>
              </w:rPr>
              <w:t>de observaciones pendientes de atender</w:t>
            </w:r>
          </w:p>
        </w:tc>
      </w:tr>
      <w:tr w:rsidR="00B74468" w:rsidRPr="00D95FD9" w14:paraId="636D0755" w14:textId="77777777" w:rsidTr="00B74468">
        <w:tc>
          <w:tcPr>
            <w:tcW w:w="902" w:type="pct"/>
          </w:tcPr>
          <w:p w14:paraId="19B6E9E9" w14:textId="77777777" w:rsidR="007D6A7C" w:rsidRPr="00D95FD9" w:rsidRDefault="007D6A7C" w:rsidP="00B74468">
            <w:pPr>
              <w:ind w:left="-284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Mayor a 18 meses</w:t>
            </w:r>
          </w:p>
        </w:tc>
        <w:tc>
          <w:tcPr>
            <w:tcW w:w="1085" w:type="pct"/>
          </w:tcPr>
          <w:p w14:paraId="19385C4D" w14:textId="77777777" w:rsidR="007D6A7C" w:rsidRPr="00D95FD9" w:rsidRDefault="007D6A7C" w:rsidP="00D24C97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De 6 a 18 meses</w:t>
            </w:r>
          </w:p>
        </w:tc>
        <w:tc>
          <w:tcPr>
            <w:tcW w:w="1128" w:type="pct"/>
          </w:tcPr>
          <w:p w14:paraId="2239A27B" w14:textId="77777777" w:rsidR="007D6A7C" w:rsidRPr="00D95FD9" w:rsidRDefault="007D6A7C" w:rsidP="00D24C97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sz w:val="22"/>
                <w:szCs w:val="22"/>
              </w:rPr>
              <w:t>Menor a 6 meses</w:t>
            </w:r>
          </w:p>
        </w:tc>
        <w:tc>
          <w:tcPr>
            <w:tcW w:w="1884" w:type="pct"/>
            <w:vMerge/>
          </w:tcPr>
          <w:p w14:paraId="181B1E7B" w14:textId="77777777" w:rsidR="007D6A7C" w:rsidRPr="00D95FD9" w:rsidRDefault="007D6A7C" w:rsidP="000821E0">
            <w:pPr>
              <w:ind w:left="-284"/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B74468" w:rsidRPr="00D95FD9" w14:paraId="53C3BEFD" w14:textId="77777777" w:rsidTr="00B74468">
        <w:tc>
          <w:tcPr>
            <w:tcW w:w="902" w:type="pct"/>
          </w:tcPr>
          <w:p w14:paraId="68BF3FFD" w14:textId="2D812AFD" w:rsidR="007D6A7C" w:rsidRPr="00D95FD9" w:rsidRDefault="00D24C97" w:rsidP="00B74468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5" w:type="pct"/>
          </w:tcPr>
          <w:p w14:paraId="0C06AD45" w14:textId="6CD8B1CB" w:rsidR="007D6A7C" w:rsidRPr="00D95FD9" w:rsidRDefault="0002382A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8" w:type="pct"/>
          </w:tcPr>
          <w:p w14:paraId="7731FA2B" w14:textId="6AAC1F67" w:rsidR="007D6A7C" w:rsidRPr="00D95FD9" w:rsidRDefault="0002382A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4" w:type="pct"/>
          </w:tcPr>
          <w:p w14:paraId="5357361C" w14:textId="43096259" w:rsidR="007D6A7C" w:rsidRPr="00D95FD9" w:rsidRDefault="005A2BA3" w:rsidP="00D24C97">
            <w:pPr>
              <w:ind w:left="-284"/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D95FD9">
              <w:rPr>
                <w:rFonts w:ascii="Montserrat" w:hAnsi="Montserrat" w:cs="Arial"/>
                <w:b/>
                <w:bCs/>
                <w:sz w:val="22"/>
                <w:szCs w:val="22"/>
              </w:rPr>
              <w:t>5</w:t>
            </w:r>
          </w:p>
        </w:tc>
      </w:tr>
    </w:tbl>
    <w:p w14:paraId="1782E28E" w14:textId="01D52D7F" w:rsidR="007D6A7C" w:rsidRPr="00D95FD9" w:rsidRDefault="007D6A7C" w:rsidP="007D6A7C">
      <w:pPr>
        <w:ind w:left="-284"/>
        <w:jc w:val="right"/>
        <w:rPr>
          <w:rFonts w:ascii="Montserrat" w:hAnsi="Montserrat" w:cs="Arial"/>
        </w:rPr>
      </w:pPr>
    </w:p>
    <w:p w14:paraId="0E6CDAD0" w14:textId="33124D2A" w:rsidR="0002382A" w:rsidRPr="00D95FD9" w:rsidRDefault="0002382A" w:rsidP="0002382A">
      <w:pPr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 xml:space="preserve">Así mismo durante el ejercicio 2021 se realizó 1 Intervención de Control Interno al Programa E003 INVESTIGACIÓN CIENTÍFICA, DESARROLLO E INNOVACIÓN, con </w:t>
      </w:r>
      <w:r w:rsidR="00D95FD9" w:rsidRPr="00D95FD9">
        <w:rPr>
          <w:rFonts w:ascii="Montserrat" w:hAnsi="Montserrat" w:cs="Arial"/>
        </w:rPr>
        <w:t>clave 21</w:t>
      </w:r>
      <w:r w:rsidRPr="00D95FD9">
        <w:rPr>
          <w:rFonts w:ascii="Montserrat" w:hAnsi="Montserrat" w:cs="Arial"/>
        </w:rPr>
        <w:t>/113/IN/3891E/005, en la que se determinaron 4 Recomendaciones de Desempeño:</w:t>
      </w:r>
    </w:p>
    <w:p w14:paraId="77E074E1" w14:textId="10F7D081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1. Establecer acciones concretas en todos los indicadores que tengan niveles por debajo del 50%, para lograr alcanzar la meta establecida en el cumplimiento de los compromisos asumidos al cierre del ejercicio 2021.</w:t>
      </w:r>
    </w:p>
    <w:p w14:paraId="0E06A8E7" w14:textId="77777777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</w:p>
    <w:p w14:paraId="78F0E2C2" w14:textId="6817267E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2. Proponer a las áreas involucradas los mecanismos de control interno para cumplir con los objetivos de los indicadores y la entidad logr</w:t>
      </w:r>
      <w:r w:rsidR="00FC45E7" w:rsidRPr="00D95FD9">
        <w:rPr>
          <w:rFonts w:ascii="Montserrat" w:hAnsi="Montserrat" w:cs="Arial"/>
        </w:rPr>
        <w:t>e</w:t>
      </w:r>
      <w:r w:rsidRPr="00D95FD9">
        <w:rPr>
          <w:rFonts w:ascii="Montserrat" w:hAnsi="Montserrat" w:cs="Arial"/>
        </w:rPr>
        <w:t xml:space="preserve"> alcanzar las metas establecidas para el ejercicio 2021, en el Convenio de Administración por Resultados (CAR).</w:t>
      </w:r>
    </w:p>
    <w:p w14:paraId="662512E3" w14:textId="77777777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</w:p>
    <w:p w14:paraId="4C38129A" w14:textId="37527A70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3. Establecer las acciones correspondientes para lograr el porcentaje de proyectos interinstitucionales y cumplir con la meta establecida de 35 proyectos al cierre del ejercicio 2021, aclarando el monto del indicador de índice de sostenibilidad económica, o especificar, cuáles son los obstáculos con los que se enfrenta para alcanzar la meta.</w:t>
      </w:r>
    </w:p>
    <w:p w14:paraId="722FEAB5" w14:textId="77777777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</w:p>
    <w:p w14:paraId="1E2E8DF7" w14:textId="334C21A8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4. Llevar a cabo las recomendaciones establecidas por los órganos colegiados en los temas de indicadores y realizar acciones concretas en todos los indicadores que tengan niveles por debajo del 50%.</w:t>
      </w:r>
    </w:p>
    <w:p w14:paraId="0AB40646" w14:textId="64D284FD" w:rsidR="008D6EBB" w:rsidRPr="00D95FD9" w:rsidRDefault="008D6EBB" w:rsidP="008D6EBB">
      <w:pPr>
        <w:spacing w:after="0" w:line="240" w:lineRule="auto"/>
        <w:jc w:val="both"/>
        <w:rPr>
          <w:rFonts w:ascii="Montserrat" w:hAnsi="Montserrat" w:cs="Arial"/>
        </w:rPr>
      </w:pPr>
    </w:p>
    <w:p w14:paraId="0EEBBE4B" w14:textId="2413AF42" w:rsidR="00B704C7" w:rsidRPr="00D95FD9" w:rsidRDefault="00024F46" w:rsidP="000529B6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D95FD9">
        <w:rPr>
          <w:rFonts w:ascii="Montserrat" w:hAnsi="Montserrat" w:cs="Arial"/>
          <w:b/>
          <w:bCs/>
        </w:rPr>
        <w:t>c</w:t>
      </w:r>
      <w:r w:rsidR="000514B4" w:rsidRPr="00D95FD9">
        <w:rPr>
          <w:rFonts w:ascii="Montserrat" w:hAnsi="Montserrat" w:cs="Arial"/>
          <w:b/>
          <w:bCs/>
        </w:rPr>
        <w:t>)</w:t>
      </w:r>
      <w:r w:rsidR="00B704C7" w:rsidRPr="00D95FD9">
        <w:rPr>
          <w:rFonts w:ascii="Montserrat" w:hAnsi="Montserrat"/>
          <w:b/>
          <w:bCs/>
          <w:iCs/>
        </w:rPr>
        <w:t xml:space="preserve"> Observaciones recurrentes y pendientes de solventar de la ASF.</w:t>
      </w:r>
    </w:p>
    <w:p w14:paraId="1A60AF74" w14:textId="76A955F1" w:rsidR="00B704C7" w:rsidRPr="00D95FD9" w:rsidRDefault="00B704C7" w:rsidP="000529B6">
      <w:pPr>
        <w:spacing w:after="0" w:line="240" w:lineRule="auto"/>
        <w:jc w:val="both"/>
        <w:rPr>
          <w:rFonts w:ascii="Montserrat" w:hAnsi="Montserrat" w:cs="Arial"/>
        </w:rPr>
      </w:pPr>
      <w:r w:rsidRPr="00D95FD9">
        <w:rPr>
          <w:rFonts w:ascii="Montserrat" w:hAnsi="Montserrat" w:cs="Arial"/>
        </w:rPr>
        <w:t>No se tienen observaciones determinadas por la Auditoría Superior de la Federación (ASF).</w:t>
      </w:r>
    </w:p>
    <w:sectPr w:rsidR="00B704C7" w:rsidRPr="00D95FD9" w:rsidSect="008D6EBB">
      <w:headerReference w:type="default" r:id="rId7"/>
      <w:footerReference w:type="default" r:id="rId8"/>
      <w:pgSz w:w="12240" w:h="15840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D56F" w14:textId="77777777" w:rsidR="007F6CF2" w:rsidRDefault="007F6CF2" w:rsidP="004D3B3B">
      <w:pPr>
        <w:spacing w:after="0" w:line="240" w:lineRule="auto"/>
      </w:pPr>
      <w:r>
        <w:separator/>
      </w:r>
    </w:p>
  </w:endnote>
  <w:endnote w:type="continuationSeparator" w:id="0">
    <w:p w14:paraId="47F3D4DC" w14:textId="77777777" w:rsidR="007F6CF2" w:rsidRDefault="007F6CF2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34262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74" w:rsidRPr="00DE6274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3135" w14:textId="77777777" w:rsidR="007F6CF2" w:rsidRDefault="007F6CF2" w:rsidP="004D3B3B">
      <w:pPr>
        <w:spacing w:after="0" w:line="240" w:lineRule="auto"/>
      </w:pPr>
      <w:r>
        <w:separator/>
      </w:r>
    </w:p>
  </w:footnote>
  <w:footnote w:type="continuationSeparator" w:id="0">
    <w:p w14:paraId="6E9538BF" w14:textId="77777777" w:rsidR="007F6CF2" w:rsidRDefault="007F6CF2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2CA" w14:textId="0214E027" w:rsidR="007A106A" w:rsidRPr="001C67C8" w:rsidRDefault="00AA5556" w:rsidP="00AA5556">
    <w:pPr>
      <w:pStyle w:val="Encabezado"/>
      <w:ind w:left="1560" w:hanging="1560"/>
      <w:rPr>
        <w:sz w:val="28"/>
        <w:szCs w:val="28"/>
      </w:rPr>
    </w:pPr>
    <w:r>
      <w:rPr>
        <w:rFonts w:ascii="Times New Roman" w:hAnsi="Times New Roman" w:cs="Times New Roman"/>
        <w:noProof/>
        <w:color w:val="201F1E"/>
        <w:sz w:val="24"/>
        <w:szCs w:val="24"/>
      </w:rPr>
      <w:drawing>
        <wp:inline distT="0" distB="0" distL="0" distR="0" wp14:anchorId="7598041A" wp14:editId="17730BD6">
          <wp:extent cx="5829300" cy="942975"/>
          <wp:effectExtent l="0" t="0" r="0" b="9525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9F4AF" w14:textId="77777777" w:rsidR="00776ACA" w:rsidRDefault="00776ACA" w:rsidP="00776ACA">
    <w:pPr>
      <w:pStyle w:val="Encabezado"/>
      <w:tabs>
        <w:tab w:val="clear" w:pos="8838"/>
      </w:tabs>
      <w:ind w:left="1560" w:right="49"/>
      <w:jc w:val="right"/>
      <w:rPr>
        <w:rFonts w:ascii="Candara" w:hAnsi="Candara"/>
        <w:b/>
        <w:noProof/>
        <w:sz w:val="28"/>
        <w:szCs w:val="28"/>
        <w:lang w:eastAsia="es-MX"/>
      </w:rPr>
    </w:pPr>
    <w:r w:rsidRPr="001C67C8">
      <w:rPr>
        <w:rFonts w:ascii="Candara" w:hAnsi="Candara"/>
        <w:b/>
        <w:noProof/>
        <w:sz w:val="28"/>
        <w:szCs w:val="28"/>
        <w:lang w:eastAsia="es-MX"/>
      </w:rPr>
      <w:t xml:space="preserve">Comité de Control y Desempeño Institucional </w:t>
    </w:r>
  </w:p>
  <w:p w14:paraId="780CC45D" w14:textId="20A3B2CB" w:rsidR="00776ACA" w:rsidRDefault="006C0FE6" w:rsidP="00776ACA">
    <w:pPr>
      <w:pStyle w:val="Encabezado"/>
      <w:tabs>
        <w:tab w:val="clear" w:pos="8838"/>
      </w:tabs>
      <w:ind w:left="1560" w:right="49"/>
      <w:jc w:val="right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>Primera</w:t>
    </w:r>
    <w:r w:rsidR="00A666CC">
      <w:rPr>
        <w:rFonts w:ascii="Candara" w:hAnsi="Candara"/>
        <w:b/>
        <w:noProof/>
        <w:sz w:val="28"/>
        <w:szCs w:val="28"/>
        <w:lang w:eastAsia="es-MX"/>
      </w:rPr>
      <w:t xml:space="preserve"> </w:t>
    </w:r>
    <w:r w:rsidR="00776ACA">
      <w:rPr>
        <w:rFonts w:ascii="Candara" w:hAnsi="Candara"/>
        <w:b/>
        <w:noProof/>
        <w:sz w:val="28"/>
        <w:szCs w:val="28"/>
        <w:lang w:eastAsia="es-MX"/>
      </w:rPr>
      <w:t>Sesión Ordinaria 202</w:t>
    </w:r>
    <w:r>
      <w:rPr>
        <w:rFonts w:ascii="Candara" w:hAnsi="Candara"/>
        <w:b/>
        <w:noProof/>
        <w:sz w:val="28"/>
        <w:szCs w:val="28"/>
        <w:lang w:eastAsia="es-MX"/>
      </w:rPr>
      <w:t>2</w:t>
    </w:r>
  </w:p>
  <w:p w14:paraId="54268999" w14:textId="04138EFC" w:rsidR="007A106A" w:rsidRDefault="007A106A" w:rsidP="00582D6F">
    <w:pPr>
      <w:pStyle w:val="Encabezado"/>
      <w:tabs>
        <w:tab w:val="clear" w:pos="8838"/>
        <w:tab w:val="left" w:pos="5207"/>
      </w:tabs>
      <w:ind w:left="1560" w:right="175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F1B1A"/>
    <w:multiLevelType w:val="hybridMultilevel"/>
    <w:tmpl w:val="DB9A1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EE8"/>
    <w:multiLevelType w:val="hybridMultilevel"/>
    <w:tmpl w:val="CA628C68"/>
    <w:lvl w:ilvl="0" w:tplc="412A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25D3F"/>
    <w:multiLevelType w:val="hybridMultilevel"/>
    <w:tmpl w:val="CB3439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13E2"/>
    <w:multiLevelType w:val="hybridMultilevel"/>
    <w:tmpl w:val="873CA568"/>
    <w:lvl w:ilvl="0" w:tplc="4DC4E1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4CE6E5E"/>
    <w:multiLevelType w:val="hybridMultilevel"/>
    <w:tmpl w:val="AAD6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04B"/>
    <w:multiLevelType w:val="hybridMultilevel"/>
    <w:tmpl w:val="8E04A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57B4"/>
    <w:multiLevelType w:val="hybridMultilevel"/>
    <w:tmpl w:val="CD5C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043D9"/>
    <w:rsid w:val="0002382A"/>
    <w:rsid w:val="00024F46"/>
    <w:rsid w:val="00031563"/>
    <w:rsid w:val="00037816"/>
    <w:rsid w:val="000514B4"/>
    <w:rsid w:val="000529B6"/>
    <w:rsid w:val="00060F81"/>
    <w:rsid w:val="0006586C"/>
    <w:rsid w:val="00081BFF"/>
    <w:rsid w:val="0008446E"/>
    <w:rsid w:val="00085F49"/>
    <w:rsid w:val="00094B03"/>
    <w:rsid w:val="000B39B8"/>
    <w:rsid w:val="000B519C"/>
    <w:rsid w:val="000D2C29"/>
    <w:rsid w:val="000D37B6"/>
    <w:rsid w:val="000D42E8"/>
    <w:rsid w:val="000E66F1"/>
    <w:rsid w:val="001151E6"/>
    <w:rsid w:val="001158A6"/>
    <w:rsid w:val="00116919"/>
    <w:rsid w:val="00134104"/>
    <w:rsid w:val="001347FE"/>
    <w:rsid w:val="001651F6"/>
    <w:rsid w:val="001831ED"/>
    <w:rsid w:val="0019032C"/>
    <w:rsid w:val="001B2444"/>
    <w:rsid w:val="001B4F33"/>
    <w:rsid w:val="001C67C8"/>
    <w:rsid w:val="001E0639"/>
    <w:rsid w:val="001E2601"/>
    <w:rsid w:val="001F0B71"/>
    <w:rsid w:val="002003A6"/>
    <w:rsid w:val="002052AC"/>
    <w:rsid w:val="00214B1E"/>
    <w:rsid w:val="002171FD"/>
    <w:rsid w:val="00223164"/>
    <w:rsid w:val="002555AD"/>
    <w:rsid w:val="00261802"/>
    <w:rsid w:val="00272E0E"/>
    <w:rsid w:val="00274D4B"/>
    <w:rsid w:val="002804BA"/>
    <w:rsid w:val="00281C63"/>
    <w:rsid w:val="00282415"/>
    <w:rsid w:val="00283D21"/>
    <w:rsid w:val="002A53A7"/>
    <w:rsid w:val="002A71A8"/>
    <w:rsid w:val="002A7767"/>
    <w:rsid w:val="002A794F"/>
    <w:rsid w:val="002B5DDB"/>
    <w:rsid w:val="002C16EC"/>
    <w:rsid w:val="002D1E0D"/>
    <w:rsid w:val="002E0D3D"/>
    <w:rsid w:val="002E45D9"/>
    <w:rsid w:val="002E5C2F"/>
    <w:rsid w:val="002F0068"/>
    <w:rsid w:val="00303B31"/>
    <w:rsid w:val="003514B8"/>
    <w:rsid w:val="00363F4F"/>
    <w:rsid w:val="0037555E"/>
    <w:rsid w:val="003A1A25"/>
    <w:rsid w:val="003A3CF3"/>
    <w:rsid w:val="003C04BF"/>
    <w:rsid w:val="003C0B89"/>
    <w:rsid w:val="003C157F"/>
    <w:rsid w:val="003E1A0E"/>
    <w:rsid w:val="003E45EF"/>
    <w:rsid w:val="003E4929"/>
    <w:rsid w:val="003E711B"/>
    <w:rsid w:val="004044DA"/>
    <w:rsid w:val="00404A68"/>
    <w:rsid w:val="00407384"/>
    <w:rsid w:val="0041142D"/>
    <w:rsid w:val="0042606C"/>
    <w:rsid w:val="0042680C"/>
    <w:rsid w:val="00435BFD"/>
    <w:rsid w:val="00436C47"/>
    <w:rsid w:val="00454E53"/>
    <w:rsid w:val="0046519C"/>
    <w:rsid w:val="0046740B"/>
    <w:rsid w:val="00470E98"/>
    <w:rsid w:val="00472960"/>
    <w:rsid w:val="004872E9"/>
    <w:rsid w:val="004A0339"/>
    <w:rsid w:val="004C1EA6"/>
    <w:rsid w:val="004D2BC5"/>
    <w:rsid w:val="004D3B3B"/>
    <w:rsid w:val="005060AB"/>
    <w:rsid w:val="005074F9"/>
    <w:rsid w:val="0051793C"/>
    <w:rsid w:val="0054106F"/>
    <w:rsid w:val="00565652"/>
    <w:rsid w:val="00573823"/>
    <w:rsid w:val="00581879"/>
    <w:rsid w:val="00582D6F"/>
    <w:rsid w:val="0058368C"/>
    <w:rsid w:val="00592E0B"/>
    <w:rsid w:val="005A2BA3"/>
    <w:rsid w:val="005B0E4A"/>
    <w:rsid w:val="005C0409"/>
    <w:rsid w:val="005D00F4"/>
    <w:rsid w:val="005D259C"/>
    <w:rsid w:val="005D70D2"/>
    <w:rsid w:val="005D7A67"/>
    <w:rsid w:val="005E34F4"/>
    <w:rsid w:val="00600AFE"/>
    <w:rsid w:val="00601615"/>
    <w:rsid w:val="00610121"/>
    <w:rsid w:val="00615045"/>
    <w:rsid w:val="0063687F"/>
    <w:rsid w:val="00655653"/>
    <w:rsid w:val="00674DDB"/>
    <w:rsid w:val="006972C3"/>
    <w:rsid w:val="006A392F"/>
    <w:rsid w:val="006B4021"/>
    <w:rsid w:val="006B4175"/>
    <w:rsid w:val="006C0FE6"/>
    <w:rsid w:val="006D5C79"/>
    <w:rsid w:val="006F28E3"/>
    <w:rsid w:val="0070263A"/>
    <w:rsid w:val="007132AC"/>
    <w:rsid w:val="00714152"/>
    <w:rsid w:val="00715F86"/>
    <w:rsid w:val="007307F4"/>
    <w:rsid w:val="00740E35"/>
    <w:rsid w:val="007725D1"/>
    <w:rsid w:val="00776ACA"/>
    <w:rsid w:val="007774B1"/>
    <w:rsid w:val="00781894"/>
    <w:rsid w:val="007A106A"/>
    <w:rsid w:val="007C5651"/>
    <w:rsid w:val="007D61EB"/>
    <w:rsid w:val="007D6A7C"/>
    <w:rsid w:val="007F08A3"/>
    <w:rsid w:val="007F0E22"/>
    <w:rsid w:val="007F6CF2"/>
    <w:rsid w:val="00805858"/>
    <w:rsid w:val="008109EE"/>
    <w:rsid w:val="008170B8"/>
    <w:rsid w:val="00833755"/>
    <w:rsid w:val="00834B5C"/>
    <w:rsid w:val="00837BB2"/>
    <w:rsid w:val="00843153"/>
    <w:rsid w:val="00860108"/>
    <w:rsid w:val="008A3B16"/>
    <w:rsid w:val="008A48AB"/>
    <w:rsid w:val="008B5768"/>
    <w:rsid w:val="008B706B"/>
    <w:rsid w:val="008B727D"/>
    <w:rsid w:val="008C52A1"/>
    <w:rsid w:val="008C790D"/>
    <w:rsid w:val="008D2917"/>
    <w:rsid w:val="008D6CBC"/>
    <w:rsid w:val="008D6EBB"/>
    <w:rsid w:val="00906CF9"/>
    <w:rsid w:val="00906DF9"/>
    <w:rsid w:val="00906E42"/>
    <w:rsid w:val="00917685"/>
    <w:rsid w:val="0092299C"/>
    <w:rsid w:val="009327E5"/>
    <w:rsid w:val="009362AD"/>
    <w:rsid w:val="0093648B"/>
    <w:rsid w:val="00946B55"/>
    <w:rsid w:val="00965EC4"/>
    <w:rsid w:val="00966514"/>
    <w:rsid w:val="00973F19"/>
    <w:rsid w:val="0097753D"/>
    <w:rsid w:val="00980D16"/>
    <w:rsid w:val="009C0175"/>
    <w:rsid w:val="009C785E"/>
    <w:rsid w:val="009C7B4D"/>
    <w:rsid w:val="009E252A"/>
    <w:rsid w:val="009E7DD7"/>
    <w:rsid w:val="00A02E49"/>
    <w:rsid w:val="00A1216F"/>
    <w:rsid w:val="00A13FAD"/>
    <w:rsid w:val="00A14AD9"/>
    <w:rsid w:val="00A21C6C"/>
    <w:rsid w:val="00A34930"/>
    <w:rsid w:val="00A40D9C"/>
    <w:rsid w:val="00A4371E"/>
    <w:rsid w:val="00A55C72"/>
    <w:rsid w:val="00A6076E"/>
    <w:rsid w:val="00A64399"/>
    <w:rsid w:val="00A666CC"/>
    <w:rsid w:val="00A72FCA"/>
    <w:rsid w:val="00A737B1"/>
    <w:rsid w:val="00A9032B"/>
    <w:rsid w:val="00A92DE6"/>
    <w:rsid w:val="00A96A93"/>
    <w:rsid w:val="00AA032E"/>
    <w:rsid w:val="00AA5556"/>
    <w:rsid w:val="00AB0AD8"/>
    <w:rsid w:val="00AB2044"/>
    <w:rsid w:val="00AE0D20"/>
    <w:rsid w:val="00AF0F74"/>
    <w:rsid w:val="00AF4921"/>
    <w:rsid w:val="00B106F1"/>
    <w:rsid w:val="00B22A1C"/>
    <w:rsid w:val="00B27353"/>
    <w:rsid w:val="00B363D6"/>
    <w:rsid w:val="00B46B4A"/>
    <w:rsid w:val="00B55AA2"/>
    <w:rsid w:val="00B57F45"/>
    <w:rsid w:val="00B63197"/>
    <w:rsid w:val="00B64F24"/>
    <w:rsid w:val="00B704C7"/>
    <w:rsid w:val="00B72AA8"/>
    <w:rsid w:val="00B74468"/>
    <w:rsid w:val="00B7453D"/>
    <w:rsid w:val="00B84E9F"/>
    <w:rsid w:val="00B907FA"/>
    <w:rsid w:val="00BB0CC6"/>
    <w:rsid w:val="00BF20EE"/>
    <w:rsid w:val="00BF72A0"/>
    <w:rsid w:val="00C0688D"/>
    <w:rsid w:val="00C07784"/>
    <w:rsid w:val="00C11C29"/>
    <w:rsid w:val="00C23A53"/>
    <w:rsid w:val="00C24D31"/>
    <w:rsid w:val="00C30AB5"/>
    <w:rsid w:val="00C64199"/>
    <w:rsid w:val="00C72FD8"/>
    <w:rsid w:val="00CA0C23"/>
    <w:rsid w:val="00CB0330"/>
    <w:rsid w:val="00CB39FA"/>
    <w:rsid w:val="00CB4B25"/>
    <w:rsid w:val="00CB6F07"/>
    <w:rsid w:val="00CC261C"/>
    <w:rsid w:val="00CC3338"/>
    <w:rsid w:val="00CC4DBD"/>
    <w:rsid w:val="00CD6C41"/>
    <w:rsid w:val="00CE0B23"/>
    <w:rsid w:val="00CE18C8"/>
    <w:rsid w:val="00CE515F"/>
    <w:rsid w:val="00CF4FB5"/>
    <w:rsid w:val="00CF50BB"/>
    <w:rsid w:val="00CF5589"/>
    <w:rsid w:val="00D17A87"/>
    <w:rsid w:val="00D239B0"/>
    <w:rsid w:val="00D24C97"/>
    <w:rsid w:val="00D25B33"/>
    <w:rsid w:val="00D34F97"/>
    <w:rsid w:val="00D421C5"/>
    <w:rsid w:val="00D45E34"/>
    <w:rsid w:val="00D47E63"/>
    <w:rsid w:val="00D61411"/>
    <w:rsid w:val="00D6448E"/>
    <w:rsid w:val="00D95F31"/>
    <w:rsid w:val="00D95FD9"/>
    <w:rsid w:val="00DA2F1A"/>
    <w:rsid w:val="00DC042B"/>
    <w:rsid w:val="00DC06F9"/>
    <w:rsid w:val="00DC70EF"/>
    <w:rsid w:val="00DD1A57"/>
    <w:rsid w:val="00DD7D8D"/>
    <w:rsid w:val="00DE4E59"/>
    <w:rsid w:val="00DE6274"/>
    <w:rsid w:val="00DE6363"/>
    <w:rsid w:val="00DF038D"/>
    <w:rsid w:val="00DF656A"/>
    <w:rsid w:val="00DF65A1"/>
    <w:rsid w:val="00E07631"/>
    <w:rsid w:val="00E300B4"/>
    <w:rsid w:val="00E31019"/>
    <w:rsid w:val="00E31589"/>
    <w:rsid w:val="00E331A3"/>
    <w:rsid w:val="00E454DF"/>
    <w:rsid w:val="00E47A8E"/>
    <w:rsid w:val="00E508BC"/>
    <w:rsid w:val="00E72D30"/>
    <w:rsid w:val="00E90B43"/>
    <w:rsid w:val="00EA19AF"/>
    <w:rsid w:val="00EA3B50"/>
    <w:rsid w:val="00EA74ED"/>
    <w:rsid w:val="00EB16DB"/>
    <w:rsid w:val="00EE243C"/>
    <w:rsid w:val="00EE4729"/>
    <w:rsid w:val="00F037FF"/>
    <w:rsid w:val="00F071DB"/>
    <w:rsid w:val="00F13AFD"/>
    <w:rsid w:val="00F2765B"/>
    <w:rsid w:val="00F301D0"/>
    <w:rsid w:val="00F322EC"/>
    <w:rsid w:val="00F367BC"/>
    <w:rsid w:val="00F40AE5"/>
    <w:rsid w:val="00F424B2"/>
    <w:rsid w:val="00F44275"/>
    <w:rsid w:val="00F52D44"/>
    <w:rsid w:val="00F70406"/>
    <w:rsid w:val="00F8022C"/>
    <w:rsid w:val="00F80D27"/>
    <w:rsid w:val="00F84F93"/>
    <w:rsid w:val="00FB7B1A"/>
    <w:rsid w:val="00FC45E7"/>
    <w:rsid w:val="00FC7601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6A0A8"/>
  <w15:docId w15:val="{535FB113-5788-4398-81D9-2ED2909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B5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97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6972C3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CEE.20A35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117</cp:revision>
  <dcterms:created xsi:type="dcterms:W3CDTF">2021-07-13T18:15:00Z</dcterms:created>
  <dcterms:modified xsi:type="dcterms:W3CDTF">2022-02-11T15:08:00Z</dcterms:modified>
</cp:coreProperties>
</file>