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EB7B" w14:textId="77777777" w:rsidR="00ED60BC" w:rsidRPr="003C7E1C" w:rsidRDefault="00ED60BC" w:rsidP="003C7E1C">
      <w:pPr>
        <w:spacing w:after="0" w:line="276" w:lineRule="auto"/>
        <w:ind w:right="142"/>
        <w:rPr>
          <w:rFonts w:ascii="Montserrat" w:hAnsi="Montserrat"/>
          <w:sz w:val="23"/>
          <w:szCs w:val="23"/>
        </w:rPr>
      </w:pPr>
    </w:p>
    <w:p w14:paraId="41890898" w14:textId="32AE6F27" w:rsidR="00DE53E8" w:rsidRPr="003C7E1C" w:rsidRDefault="00385295" w:rsidP="003C7E1C">
      <w:pPr>
        <w:spacing w:line="276" w:lineRule="auto"/>
        <w:ind w:right="142"/>
        <w:jc w:val="both"/>
        <w:rPr>
          <w:rFonts w:ascii="Montserrat" w:hAnsi="Montserrat" w:cs="Arial"/>
          <w:b/>
          <w:sz w:val="28"/>
          <w:szCs w:val="28"/>
        </w:rPr>
      </w:pPr>
      <w:r w:rsidRPr="003C7E1C">
        <w:rPr>
          <w:rFonts w:ascii="Montserrat" w:hAnsi="Montserrat" w:cs="Arial"/>
          <w:b/>
          <w:sz w:val="28"/>
          <w:szCs w:val="28"/>
        </w:rPr>
        <w:t xml:space="preserve">XIV. </w:t>
      </w:r>
      <w:r w:rsidR="00A00FAD" w:rsidRPr="003C7E1C">
        <w:rPr>
          <w:rFonts w:ascii="Montserrat" w:hAnsi="Montserrat" w:cs="Arial"/>
          <w:b/>
          <w:sz w:val="28"/>
          <w:szCs w:val="28"/>
        </w:rPr>
        <w:t>ASUNTOS GENERALES</w:t>
      </w:r>
    </w:p>
    <w:p w14:paraId="517E46B5" w14:textId="287B576B" w:rsidR="00A328C8" w:rsidRPr="003C7E1C" w:rsidRDefault="006B3A74" w:rsidP="003C7E1C">
      <w:pPr>
        <w:spacing w:line="276" w:lineRule="auto"/>
        <w:ind w:right="142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es-MX"/>
        </w:rPr>
      </w:pPr>
      <w:r>
        <w:rPr>
          <w:rFonts w:ascii="Montserrat" w:hAnsi="Montserrat" w:cs="Arial"/>
          <w:b/>
          <w:sz w:val="24"/>
          <w:szCs w:val="24"/>
        </w:rPr>
        <w:t>b</w:t>
      </w:r>
      <w:r w:rsidR="00385295" w:rsidRPr="003C7E1C">
        <w:rPr>
          <w:rFonts w:ascii="Montserrat" w:hAnsi="Montserrat" w:cs="Arial"/>
          <w:b/>
          <w:sz w:val="24"/>
          <w:szCs w:val="24"/>
        </w:rPr>
        <w:t xml:space="preserve">. </w:t>
      </w:r>
      <w:r w:rsidR="00A328C8" w:rsidRPr="003C7E1C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es-MX"/>
        </w:rPr>
        <w:t>Avances de Mejora Regulatoria.</w:t>
      </w:r>
    </w:p>
    <w:p w14:paraId="746B67F7" w14:textId="6BBE24E8" w:rsidR="00A328C8" w:rsidRPr="003C7E1C" w:rsidRDefault="00A328C8" w:rsidP="003C7E1C">
      <w:pPr>
        <w:spacing w:line="276" w:lineRule="auto"/>
        <w:ind w:right="142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</w:pP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Siguiendo los lineamientos generales y el procedimiento para la simplificación y mejora regulatoria de las disposiciones internas que regulan la operación y funcionamiento de las unidades administrativas y órganos desconcentrados</w:t>
      </w:r>
      <w:r w:rsidR="005C13CA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,</w:t>
      </w: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se </w:t>
      </w:r>
      <w:r w:rsidR="00277E7F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tenía pendiente la revisión de</w:t>
      </w:r>
      <w:r w:rsidR="00835965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las siguientes</w:t>
      </w:r>
      <w:r w:rsidR="00277E7F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</w:t>
      </w:r>
      <w:r w:rsidR="00AE7B5C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tres normas internas</w:t>
      </w:r>
      <w:r w:rsidR="002C68EA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por la Unidad de Asuntos Jurídicos</w:t>
      </w:r>
      <w:r w:rsidR="00CA129B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del CONACYT</w:t>
      </w: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:</w:t>
      </w:r>
    </w:p>
    <w:p w14:paraId="736C2CBE" w14:textId="77777777" w:rsidR="00A328C8" w:rsidRPr="003C7E1C" w:rsidRDefault="00A328C8" w:rsidP="003C7E1C">
      <w:pPr>
        <w:pStyle w:val="Prrafodelista"/>
        <w:numPr>
          <w:ilvl w:val="0"/>
          <w:numId w:val="6"/>
        </w:numPr>
        <w:spacing w:line="276" w:lineRule="auto"/>
        <w:ind w:right="142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</w:pP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Manual de Organización de El Colegio de la Frontera Sur.</w:t>
      </w:r>
    </w:p>
    <w:p w14:paraId="711CA8AD" w14:textId="6D78ABB9" w:rsidR="00A328C8" w:rsidRPr="003C7E1C" w:rsidRDefault="00A328C8" w:rsidP="003C7E1C">
      <w:pPr>
        <w:pStyle w:val="Prrafodelista"/>
        <w:numPr>
          <w:ilvl w:val="0"/>
          <w:numId w:val="6"/>
        </w:numPr>
        <w:spacing w:line="276" w:lineRule="auto"/>
        <w:ind w:right="142"/>
        <w:jc w:val="both"/>
        <w:rPr>
          <w:rFonts w:ascii="Montserrat" w:hAnsi="Montserrat"/>
          <w:bCs/>
          <w:sz w:val="23"/>
          <w:szCs w:val="23"/>
        </w:rPr>
      </w:pPr>
      <w:r w:rsidRPr="003C7E1C">
        <w:rPr>
          <w:rFonts w:ascii="Montserrat" w:hAnsi="Montserrat"/>
          <w:sz w:val="23"/>
          <w:szCs w:val="23"/>
        </w:rPr>
        <w:t>D</w:t>
      </w:r>
      <w:r w:rsidRPr="003C7E1C">
        <w:rPr>
          <w:rFonts w:ascii="Montserrat" w:hAnsi="Montserrat"/>
          <w:bCs/>
          <w:sz w:val="23"/>
          <w:szCs w:val="23"/>
        </w:rPr>
        <w:t>isposiciones generales a las que se sujetan las autorizaciones que otorgue la persona titular de El Colegio de la Frontera Sur (ECOSUR) para la celebración de contratos plurianuales en materia de adquisiciones, arrendamientos y servicios, así como de obra pública</w:t>
      </w:r>
      <w:r w:rsidR="003C7E1C" w:rsidRPr="003C7E1C">
        <w:rPr>
          <w:rFonts w:ascii="Montserrat" w:hAnsi="Montserrat"/>
          <w:bCs/>
          <w:sz w:val="23"/>
          <w:szCs w:val="23"/>
        </w:rPr>
        <w:t>.</w:t>
      </w:r>
    </w:p>
    <w:p w14:paraId="737FDB32" w14:textId="77777777" w:rsidR="00A328C8" w:rsidRPr="003C7E1C" w:rsidRDefault="00A328C8" w:rsidP="003C7E1C">
      <w:pPr>
        <w:pStyle w:val="Prrafodelista"/>
        <w:numPr>
          <w:ilvl w:val="0"/>
          <w:numId w:val="6"/>
        </w:numPr>
        <w:spacing w:line="276" w:lineRule="auto"/>
        <w:ind w:right="142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</w:pP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Políticas Bases y Lineamientos en Materia de Adquisiciones, Arrendamientos y Servicios de El Colegio de la Frontera Sur.</w:t>
      </w:r>
    </w:p>
    <w:p w14:paraId="5A56952E" w14:textId="23B8A5E4" w:rsidR="006102E1" w:rsidRPr="003C7E1C" w:rsidRDefault="00E661E9" w:rsidP="003C7E1C">
      <w:pPr>
        <w:spacing w:line="276" w:lineRule="auto"/>
        <w:ind w:right="142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</w:pPr>
      <w:r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L</w:t>
      </w:r>
      <w:r w:rsidR="006102E1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a</w:t>
      </w:r>
      <w:r w:rsidR="00C45663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s</w:t>
      </w:r>
      <w:r w:rsidR="006102E1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siguiente</w:t>
      </w:r>
      <w:r w:rsidR="00C45663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s</w:t>
      </w:r>
      <w:r w:rsidR="006102E1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norma</w:t>
      </w:r>
      <w:r w:rsidR="00C45663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s</w:t>
      </w:r>
      <w:r w:rsidR="001C632A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fue</w:t>
      </w:r>
      <w:r w:rsidR="00C45663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ron</w:t>
      </w:r>
      <w:r w:rsidR="00A328C8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validada</w:t>
      </w:r>
      <w:r w:rsidR="00C45663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s</w:t>
      </w:r>
      <w:r w:rsidR="00992634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en el primer</w:t>
      </w:r>
      <w:r w:rsidR="00400DCF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trimestre del 2022</w:t>
      </w:r>
      <w:r w:rsidR="00400DCF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</w:t>
      </w:r>
      <w:r w:rsidR="00106B00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por la Unidad de Asuntos Jurí</w:t>
      </w:r>
      <w:r w:rsidR="006F75D5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di</w:t>
      </w:r>
      <w:r w:rsidR="00106B00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cos </w:t>
      </w:r>
      <w:r w:rsidR="006F75D5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del CONACYT</w:t>
      </w:r>
      <w:r w:rsidR="00992634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y</w:t>
      </w:r>
      <w:r w:rsidR="00B46FD2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la</w:t>
      </w:r>
      <w:r w:rsidR="00072EBB" w:rsidRPr="00072EBB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Unidad de Planeación, Comunicación y Cooperación Internacional, a través de su Dirección de Planeación y Evaluación</w:t>
      </w:r>
      <w:r w:rsidR="00527235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,</w:t>
      </w:r>
      <w:r w:rsidR="009A498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</w:t>
      </w:r>
      <w:r w:rsidR="00223512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respectivamente</w:t>
      </w:r>
      <w:r w:rsidR="00A328C8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y aproba</w:t>
      </w:r>
      <w:r w:rsidR="001C632A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da</w:t>
      </w:r>
      <w:r w:rsidR="00562DEB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s</w:t>
      </w:r>
      <w:r w:rsidR="001C632A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por</w:t>
      </w:r>
      <w:r w:rsidR="00A328C8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la Junta de Gobierno</w:t>
      </w:r>
      <w:r w:rsidR="00400DCF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en </w:t>
      </w:r>
      <w:r w:rsidR="00223512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la Primera </w:t>
      </w:r>
      <w:r w:rsidR="00F129C3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Sesión Extraordinaria</w:t>
      </w:r>
      <w:r w:rsidR="00223512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2022</w:t>
      </w:r>
      <w:r w:rsidR="00D778C0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,</w:t>
      </w:r>
      <w:r w:rsidR="00F14406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y se encuentran publicadas en la </w:t>
      </w:r>
      <w:proofErr w:type="spellStart"/>
      <w:r w:rsidR="00F14406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Normateca</w:t>
      </w:r>
      <w:proofErr w:type="spellEnd"/>
      <w:r w:rsidR="00F14406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de ECOSUR</w:t>
      </w:r>
      <w:r w:rsidR="000C1C6A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y en trámite la publicación en el DOF del Programa </w:t>
      </w:r>
      <w:r w:rsidR="00272634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Institucional 2022-2024 de </w:t>
      </w:r>
      <w:r w:rsidR="003760AB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El Colegio de la Frontera Sur</w:t>
      </w:r>
      <w:r w:rsidR="00D346BD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.</w:t>
      </w:r>
    </w:p>
    <w:p w14:paraId="492B4431" w14:textId="27F32BB1" w:rsidR="006102E1" w:rsidRDefault="006102E1" w:rsidP="003C7E1C">
      <w:pPr>
        <w:pStyle w:val="Prrafodelista"/>
        <w:numPr>
          <w:ilvl w:val="0"/>
          <w:numId w:val="6"/>
        </w:numPr>
        <w:spacing w:line="276" w:lineRule="auto"/>
        <w:ind w:right="142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</w:pP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Políticas Bases y Lineamientos en Materia de Adquisiciones, Arrendamientos y Servicios de El Colegio de la Frontera Sur.</w:t>
      </w:r>
    </w:p>
    <w:p w14:paraId="36DFE943" w14:textId="71319947" w:rsidR="00D428B3" w:rsidRPr="003C7E1C" w:rsidRDefault="00D428B3" w:rsidP="003C7E1C">
      <w:pPr>
        <w:pStyle w:val="Prrafodelista"/>
        <w:numPr>
          <w:ilvl w:val="0"/>
          <w:numId w:val="6"/>
        </w:numPr>
        <w:spacing w:line="276" w:lineRule="auto"/>
        <w:ind w:right="142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</w:pPr>
      <w:r w:rsidRPr="00D428B3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Programa Institucional 2022-2024 de El Colegio de la Frontera Sur (ECOSUR</w:t>
      </w:r>
      <w:r w:rsidR="00272634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)</w:t>
      </w:r>
    </w:p>
    <w:p w14:paraId="0F8DCA8E" w14:textId="519238E7" w:rsidR="00A328C8" w:rsidRPr="003C7E1C" w:rsidRDefault="00D346BD" w:rsidP="003C7E1C">
      <w:pPr>
        <w:spacing w:line="276" w:lineRule="auto"/>
        <w:ind w:right="142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</w:pP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Quedando pendiente</w:t>
      </w:r>
      <w:r w:rsidR="00346E6A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de revisión </w:t>
      </w:r>
      <w:r w:rsidR="008D74FA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por la Unidad de Asuntos Jurídicos del CONAC</w:t>
      </w:r>
      <w:r w:rsidR="00D43185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Y</w:t>
      </w:r>
      <w:r w:rsidR="008D74FA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T</w:t>
      </w:r>
      <w:r w:rsidR="00A77208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y posterior presentación a Órgano de Gobierno </w:t>
      </w:r>
      <w:r w:rsidR="008D74FA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las siguientes</w:t>
      </w: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</w:t>
      </w:r>
      <w:r w:rsidR="00346E6A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dos normas</w:t>
      </w:r>
      <w:r w:rsidR="006102E1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:</w:t>
      </w:r>
      <w:r w:rsidR="00346E6A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</w:t>
      </w:r>
    </w:p>
    <w:p w14:paraId="651452A9" w14:textId="77777777" w:rsidR="006102E1" w:rsidRPr="003C7E1C" w:rsidRDefault="006102E1" w:rsidP="003C7E1C">
      <w:pPr>
        <w:pStyle w:val="Prrafodelista"/>
        <w:numPr>
          <w:ilvl w:val="0"/>
          <w:numId w:val="6"/>
        </w:numPr>
        <w:spacing w:line="276" w:lineRule="auto"/>
        <w:ind w:right="142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</w:pP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Manual de Organización de El Colegio de la Frontera Sur.</w:t>
      </w:r>
    </w:p>
    <w:p w14:paraId="57B408EA" w14:textId="46A5E7C7" w:rsidR="006102E1" w:rsidRPr="003C7E1C" w:rsidRDefault="006102E1" w:rsidP="003C7E1C">
      <w:pPr>
        <w:pStyle w:val="Prrafodelista"/>
        <w:numPr>
          <w:ilvl w:val="0"/>
          <w:numId w:val="6"/>
        </w:numPr>
        <w:spacing w:line="276" w:lineRule="auto"/>
        <w:ind w:right="142"/>
        <w:jc w:val="both"/>
        <w:rPr>
          <w:rFonts w:ascii="Montserrat" w:hAnsi="Montserrat"/>
          <w:bCs/>
          <w:sz w:val="23"/>
          <w:szCs w:val="23"/>
        </w:rPr>
      </w:pPr>
      <w:r w:rsidRPr="003C7E1C">
        <w:rPr>
          <w:rFonts w:ascii="Montserrat" w:hAnsi="Montserrat"/>
          <w:sz w:val="23"/>
          <w:szCs w:val="23"/>
        </w:rPr>
        <w:t>D</w:t>
      </w:r>
      <w:r w:rsidRPr="003C7E1C">
        <w:rPr>
          <w:rFonts w:ascii="Montserrat" w:hAnsi="Montserrat"/>
          <w:bCs/>
          <w:sz w:val="23"/>
          <w:szCs w:val="23"/>
        </w:rPr>
        <w:t>isposiciones generales a las que se sujetan las autorizaciones que otorgue la persona titular de El Colegio de la Frontera Sur (ECOSUR) para la celebración de contratos plurianuales en materia de adquisiciones, arrendamientos y servicios, así como de obra pública</w:t>
      </w:r>
    </w:p>
    <w:p w14:paraId="206BF47C" w14:textId="308C3139" w:rsidR="00390ADD" w:rsidRPr="003C7E1C" w:rsidRDefault="00390ADD" w:rsidP="003C7E1C">
      <w:pPr>
        <w:spacing w:line="276" w:lineRule="auto"/>
        <w:ind w:right="142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</w:pP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lastRenderedPageBreak/>
        <w:t>También se actualizó y aprobó por el Comité</w:t>
      </w:r>
      <w:r w:rsidR="009B428E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de </w:t>
      </w:r>
      <w:r w:rsidR="00AD3EBC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Bienes Muebles de El Colegio de la Frontera Sur</w:t>
      </w:r>
      <w:r w:rsidR="009B428E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, el </w:t>
      </w: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Manual de Integración y Funcionamiento </w:t>
      </w:r>
      <w:r w:rsidR="009B428E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de este</w:t>
      </w: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. </w:t>
      </w:r>
    </w:p>
    <w:p w14:paraId="160FF217" w14:textId="63DF9A5E" w:rsidR="00A328C8" w:rsidRPr="003C7E1C" w:rsidRDefault="00A328C8" w:rsidP="003C7E1C">
      <w:pPr>
        <w:spacing w:line="276" w:lineRule="auto"/>
        <w:ind w:right="142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</w:pP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Actualmente </w:t>
      </w:r>
      <w:r w:rsidR="007104E3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continúan </w:t>
      </w: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en revisión y actualización diferentes normas internas del Posgrado. </w:t>
      </w:r>
    </w:p>
    <w:p w14:paraId="7CC72256" w14:textId="5D967D17" w:rsidR="00A328C8" w:rsidRPr="003C7E1C" w:rsidRDefault="00A328C8" w:rsidP="003C7E1C">
      <w:pPr>
        <w:spacing w:line="276" w:lineRule="auto"/>
        <w:ind w:right="142"/>
        <w:jc w:val="both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</w:pP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También es importante mencionar que</w:t>
      </w:r>
      <w:r w:rsidR="00DA1888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se ha establecido el acercamiento con el Órgano Interno de Control de ECOSUR para realizar de manera conjunta e</w:t>
      </w:r>
      <w:r w:rsidR="00366B73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l</w:t>
      </w:r>
      <w:r w:rsidR="00DA1888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proceso</w:t>
      </w:r>
      <w:r w:rsidR="00366B73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de baja</w:t>
      </w:r>
      <w:r w:rsidR="00697CA0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en la plataforma del </w:t>
      </w:r>
      <w:r w:rsidR="00BB3876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SANI</w:t>
      </w:r>
      <w:r w:rsidR="00DA1888"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>.</w:t>
      </w:r>
      <w:r w:rsidRPr="003C7E1C"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es-MX"/>
        </w:rPr>
        <w:t xml:space="preserve"> </w:t>
      </w:r>
    </w:p>
    <w:p w14:paraId="7E7D301B" w14:textId="50B9B1C2" w:rsidR="00A328C8" w:rsidRPr="003C7E1C" w:rsidRDefault="00A328C8" w:rsidP="003C7E1C">
      <w:pPr>
        <w:spacing w:after="0" w:line="276" w:lineRule="auto"/>
        <w:ind w:right="142"/>
        <w:jc w:val="both"/>
        <w:rPr>
          <w:rFonts w:ascii="Montserrat" w:hAnsi="Montserrat"/>
          <w:sz w:val="23"/>
          <w:szCs w:val="23"/>
        </w:rPr>
      </w:pPr>
      <w:r w:rsidRPr="003C7E1C">
        <w:rPr>
          <w:rFonts w:ascii="Montserrat" w:hAnsi="Montserrat"/>
          <w:sz w:val="23"/>
          <w:szCs w:val="23"/>
        </w:rPr>
        <w:t xml:space="preserve">Asimismo, </w:t>
      </w:r>
      <w:r w:rsidR="00B46C05" w:rsidRPr="003C7E1C">
        <w:rPr>
          <w:rFonts w:ascii="Montserrat" w:hAnsi="Montserrat"/>
          <w:sz w:val="23"/>
          <w:szCs w:val="23"/>
        </w:rPr>
        <w:t xml:space="preserve">se continúa </w:t>
      </w:r>
      <w:r w:rsidR="00C64F38" w:rsidRPr="003C7E1C">
        <w:rPr>
          <w:rFonts w:ascii="Montserrat" w:hAnsi="Montserrat"/>
          <w:sz w:val="23"/>
          <w:szCs w:val="23"/>
        </w:rPr>
        <w:t xml:space="preserve">con la revisión y actualización de </w:t>
      </w:r>
      <w:r w:rsidR="00A14261" w:rsidRPr="003C7E1C">
        <w:rPr>
          <w:rFonts w:ascii="Montserrat" w:hAnsi="Montserrat"/>
          <w:sz w:val="23"/>
          <w:szCs w:val="23"/>
        </w:rPr>
        <w:t xml:space="preserve">las normas publicadas </w:t>
      </w:r>
      <w:r w:rsidRPr="003C7E1C">
        <w:rPr>
          <w:rFonts w:ascii="Montserrat" w:hAnsi="Montserrat"/>
          <w:sz w:val="23"/>
          <w:szCs w:val="23"/>
        </w:rPr>
        <w:t xml:space="preserve">en la </w:t>
      </w:r>
      <w:proofErr w:type="spellStart"/>
      <w:r w:rsidRPr="003C7E1C">
        <w:rPr>
          <w:rFonts w:ascii="Montserrat" w:hAnsi="Montserrat"/>
          <w:sz w:val="23"/>
          <w:szCs w:val="23"/>
        </w:rPr>
        <w:t>Normateca</w:t>
      </w:r>
      <w:proofErr w:type="spellEnd"/>
      <w:r w:rsidRPr="003C7E1C">
        <w:rPr>
          <w:rFonts w:ascii="Montserrat" w:hAnsi="Montserrat"/>
          <w:sz w:val="23"/>
          <w:szCs w:val="23"/>
        </w:rPr>
        <w:t xml:space="preserve"> de ECOSUR</w:t>
      </w:r>
      <w:r w:rsidR="00A77208" w:rsidRPr="003C7E1C">
        <w:rPr>
          <w:rFonts w:ascii="Montserrat" w:hAnsi="Montserrat"/>
          <w:sz w:val="23"/>
          <w:szCs w:val="23"/>
        </w:rPr>
        <w:t>.</w:t>
      </w:r>
    </w:p>
    <w:p w14:paraId="62D3EAFE" w14:textId="799A3F7A" w:rsidR="009B4328" w:rsidRPr="003C7E1C" w:rsidRDefault="009B4328" w:rsidP="003C7E1C">
      <w:pPr>
        <w:pStyle w:val="Prrafodelista"/>
        <w:spacing w:line="276" w:lineRule="auto"/>
        <w:ind w:left="0" w:right="142"/>
        <w:rPr>
          <w:rFonts w:ascii="Montserrat" w:hAnsi="Montserrat"/>
          <w:sz w:val="23"/>
          <w:szCs w:val="23"/>
        </w:rPr>
      </w:pPr>
    </w:p>
    <w:p w14:paraId="2D822C59" w14:textId="75EC2413" w:rsidR="00390ADD" w:rsidRPr="003C7E1C" w:rsidRDefault="00390ADD" w:rsidP="003C7E1C">
      <w:pPr>
        <w:pStyle w:val="Prrafodelista"/>
        <w:spacing w:line="276" w:lineRule="auto"/>
        <w:ind w:left="0" w:right="142"/>
        <w:rPr>
          <w:rFonts w:ascii="Montserrat" w:hAnsi="Montserrat"/>
          <w:sz w:val="23"/>
          <w:szCs w:val="23"/>
        </w:rPr>
      </w:pPr>
    </w:p>
    <w:p w14:paraId="7F30F39F" w14:textId="77777777" w:rsidR="00390ADD" w:rsidRPr="003C7E1C" w:rsidRDefault="00390ADD" w:rsidP="003C7E1C">
      <w:pPr>
        <w:pStyle w:val="Prrafodelista"/>
        <w:spacing w:line="276" w:lineRule="auto"/>
        <w:ind w:left="0" w:right="142"/>
        <w:rPr>
          <w:rFonts w:ascii="Montserrat" w:hAnsi="Montserrat"/>
          <w:sz w:val="23"/>
          <w:szCs w:val="23"/>
        </w:rPr>
      </w:pPr>
    </w:p>
    <w:p w14:paraId="2D42E847" w14:textId="66E2FC78" w:rsidR="009B4328" w:rsidRPr="003C7E1C" w:rsidRDefault="009B4328" w:rsidP="003C7E1C">
      <w:pPr>
        <w:pStyle w:val="Prrafodelista"/>
        <w:spacing w:line="276" w:lineRule="auto"/>
        <w:ind w:left="0" w:right="142"/>
        <w:rPr>
          <w:rFonts w:ascii="Montserrat" w:hAnsi="Montserrat"/>
          <w:sz w:val="23"/>
          <w:szCs w:val="23"/>
        </w:rPr>
      </w:pPr>
      <w:r w:rsidRPr="003C7E1C">
        <w:rPr>
          <w:rFonts w:ascii="Montserrat" w:hAnsi="Montserrat"/>
          <w:sz w:val="23"/>
          <w:szCs w:val="23"/>
        </w:rPr>
        <w:t>Responsable de la información:</w:t>
      </w:r>
    </w:p>
    <w:p w14:paraId="2CFC7D75" w14:textId="7A5A670F" w:rsidR="009B4328" w:rsidRPr="003C7E1C" w:rsidRDefault="009B4328" w:rsidP="003C7E1C">
      <w:pPr>
        <w:pStyle w:val="Prrafodelista"/>
        <w:spacing w:line="276" w:lineRule="auto"/>
        <w:ind w:left="0" w:right="142"/>
        <w:rPr>
          <w:rFonts w:ascii="Montserrat" w:hAnsi="Montserrat"/>
          <w:sz w:val="23"/>
          <w:szCs w:val="23"/>
        </w:rPr>
      </w:pPr>
    </w:p>
    <w:p w14:paraId="7930AD92" w14:textId="5B7FB572" w:rsidR="003C7E1C" w:rsidRPr="003C7E1C" w:rsidRDefault="003C7E1C" w:rsidP="003C7E1C">
      <w:pPr>
        <w:pStyle w:val="Prrafodelista"/>
        <w:spacing w:line="276" w:lineRule="auto"/>
        <w:ind w:left="0" w:right="142"/>
        <w:rPr>
          <w:rFonts w:ascii="Montserrat" w:hAnsi="Montserrat"/>
          <w:sz w:val="23"/>
          <w:szCs w:val="23"/>
        </w:rPr>
      </w:pPr>
    </w:p>
    <w:p w14:paraId="4D60B68C" w14:textId="77777777" w:rsidR="003C7E1C" w:rsidRPr="003C7E1C" w:rsidRDefault="003C7E1C" w:rsidP="003C7E1C">
      <w:pPr>
        <w:pStyle w:val="Prrafodelista"/>
        <w:spacing w:line="276" w:lineRule="auto"/>
        <w:ind w:left="0" w:right="142"/>
        <w:rPr>
          <w:rFonts w:ascii="Montserrat" w:hAnsi="Montserrat"/>
          <w:sz w:val="23"/>
          <w:szCs w:val="23"/>
        </w:rPr>
      </w:pPr>
    </w:p>
    <w:p w14:paraId="739BB322" w14:textId="4CB82865" w:rsidR="009B4328" w:rsidRPr="003C7E1C" w:rsidRDefault="009B4328" w:rsidP="003C7E1C">
      <w:pPr>
        <w:pStyle w:val="Prrafodelista"/>
        <w:spacing w:line="276" w:lineRule="auto"/>
        <w:ind w:left="0" w:right="142"/>
        <w:rPr>
          <w:rFonts w:ascii="Montserrat" w:hAnsi="Montserrat"/>
          <w:sz w:val="23"/>
          <w:szCs w:val="23"/>
        </w:rPr>
      </w:pPr>
      <w:r w:rsidRPr="003C7E1C">
        <w:rPr>
          <w:rFonts w:ascii="Montserrat" w:hAnsi="Montserrat"/>
          <w:sz w:val="23"/>
          <w:szCs w:val="23"/>
        </w:rPr>
        <w:t>Mtra. Leticia Espinosa Cruz</w:t>
      </w:r>
    </w:p>
    <w:p w14:paraId="4FF27F49" w14:textId="23480D54" w:rsidR="009B4328" w:rsidRPr="003C7E1C" w:rsidRDefault="009B4328" w:rsidP="003C7E1C">
      <w:pPr>
        <w:pStyle w:val="Prrafodelista"/>
        <w:spacing w:line="276" w:lineRule="auto"/>
        <w:ind w:left="0" w:right="142"/>
        <w:rPr>
          <w:rFonts w:ascii="Montserrat" w:hAnsi="Montserrat"/>
          <w:sz w:val="23"/>
          <w:szCs w:val="23"/>
        </w:rPr>
      </w:pPr>
      <w:r w:rsidRPr="003C7E1C">
        <w:rPr>
          <w:rFonts w:ascii="Montserrat" w:hAnsi="Montserrat"/>
          <w:sz w:val="23"/>
          <w:szCs w:val="23"/>
        </w:rPr>
        <w:t>Directora de Administración</w:t>
      </w:r>
    </w:p>
    <w:sectPr w:rsidR="009B4328" w:rsidRPr="003C7E1C" w:rsidSect="003C7E1C">
      <w:headerReference w:type="default" r:id="rId8"/>
      <w:footerReference w:type="default" r:id="rId9"/>
      <w:pgSz w:w="12240" w:h="15840"/>
      <w:pgMar w:top="880" w:right="1325" w:bottom="1417" w:left="1701" w:header="56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ED91" w14:textId="77777777" w:rsidR="00116C88" w:rsidRDefault="00116C88" w:rsidP="008E075A">
      <w:pPr>
        <w:spacing w:after="0" w:line="240" w:lineRule="auto"/>
      </w:pPr>
      <w:r>
        <w:separator/>
      </w:r>
    </w:p>
  </w:endnote>
  <w:endnote w:type="continuationSeparator" w:id="0">
    <w:p w14:paraId="684A5BDD" w14:textId="77777777" w:rsidR="00116C88" w:rsidRDefault="00116C88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03266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4CEF1B89" w14:textId="77777777" w:rsidR="003C7E1C" w:rsidRDefault="00455B92" w:rsidP="00173DAB">
        <w:pPr>
          <w:pStyle w:val="Piedepgina"/>
          <w:jc w:val="center"/>
          <w:rPr>
            <w:rFonts w:ascii="Montserrat" w:hAnsi="Montserrat"/>
          </w:rPr>
        </w:pPr>
        <w:r w:rsidRPr="00455B92">
          <w:rPr>
            <w:rFonts w:ascii="Montserrat" w:hAnsi="Montserrat"/>
          </w:rPr>
          <w:fldChar w:fldCharType="begin"/>
        </w:r>
        <w:r w:rsidRPr="00455B92">
          <w:rPr>
            <w:rFonts w:ascii="Montserrat" w:hAnsi="Montserrat"/>
          </w:rPr>
          <w:instrText>PAGE   \* MERGEFORMAT</w:instrText>
        </w:r>
        <w:r w:rsidRPr="00455B92">
          <w:rPr>
            <w:rFonts w:ascii="Montserrat" w:hAnsi="Montserrat"/>
          </w:rPr>
          <w:fldChar w:fldCharType="separate"/>
        </w:r>
        <w:r w:rsidRPr="00455B92">
          <w:rPr>
            <w:rFonts w:ascii="Montserrat" w:hAnsi="Montserrat"/>
            <w:lang w:val="es-ES"/>
          </w:rPr>
          <w:t>2</w:t>
        </w:r>
        <w:r w:rsidRPr="00455B92">
          <w:rPr>
            <w:rFonts w:ascii="Montserrat" w:hAnsi="Montserrat"/>
          </w:rPr>
          <w:fldChar w:fldCharType="end"/>
        </w:r>
      </w:p>
      <w:p w14:paraId="66F2DC67" w14:textId="2F5AE425" w:rsidR="00AC420E" w:rsidRPr="00173DAB" w:rsidRDefault="006B3A74" w:rsidP="00173DAB">
        <w:pPr>
          <w:pStyle w:val="Piedepgina"/>
          <w:jc w:val="center"/>
          <w:rPr>
            <w:rFonts w:ascii="Montserrat" w:hAnsi="Montserrat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FED7" w14:textId="77777777" w:rsidR="00116C88" w:rsidRDefault="00116C88" w:rsidP="008E075A">
      <w:pPr>
        <w:spacing w:after="0" w:line="240" w:lineRule="auto"/>
      </w:pPr>
      <w:r>
        <w:separator/>
      </w:r>
    </w:p>
  </w:footnote>
  <w:footnote w:type="continuationSeparator" w:id="0">
    <w:p w14:paraId="27B3C789" w14:textId="77777777" w:rsidR="00116C88" w:rsidRDefault="00116C88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8B8D" w14:textId="10E46983" w:rsidR="003C7E1C" w:rsidRDefault="003C7E1C" w:rsidP="00385295">
    <w:r>
      <w:rPr>
        <w:noProof/>
      </w:rPr>
      <w:drawing>
        <wp:anchor distT="0" distB="0" distL="114300" distR="114300" simplePos="0" relativeHeight="251658240" behindDoc="0" locked="0" layoutInCell="1" allowOverlap="1" wp14:anchorId="7390CF19" wp14:editId="5773D6FD">
          <wp:simplePos x="0" y="0"/>
          <wp:positionH relativeFrom="column">
            <wp:posOffset>62865</wp:posOffset>
          </wp:positionH>
          <wp:positionV relativeFrom="paragraph">
            <wp:posOffset>-7620</wp:posOffset>
          </wp:positionV>
          <wp:extent cx="4638675" cy="92329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A75415" wp14:editId="75E2A01C">
          <wp:simplePos x="0" y="0"/>
          <wp:positionH relativeFrom="column">
            <wp:posOffset>4262755</wp:posOffset>
          </wp:positionH>
          <wp:positionV relativeFrom="paragraph">
            <wp:posOffset>259080</wp:posOffset>
          </wp:positionV>
          <wp:extent cx="1228725" cy="567055"/>
          <wp:effectExtent l="0" t="0" r="9525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4550F" w14:textId="0B181DFB" w:rsidR="00385295" w:rsidRDefault="00385295" w:rsidP="00385295"/>
  <w:p w14:paraId="6D7E1EBC" w14:textId="06DD1633" w:rsidR="00385295" w:rsidRDefault="00385295" w:rsidP="00385295"/>
  <w:p w14:paraId="6AA95780" w14:textId="77777777" w:rsidR="00132B5B" w:rsidRPr="00132B5B" w:rsidRDefault="00132B5B" w:rsidP="0038529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1E1"/>
    <w:multiLevelType w:val="hybridMultilevel"/>
    <w:tmpl w:val="F678082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7BD"/>
    <w:multiLevelType w:val="hybridMultilevel"/>
    <w:tmpl w:val="055297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75DB"/>
    <w:multiLevelType w:val="hybridMultilevel"/>
    <w:tmpl w:val="F678082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79E5"/>
    <w:multiLevelType w:val="hybridMultilevel"/>
    <w:tmpl w:val="0E041236"/>
    <w:lvl w:ilvl="0" w:tplc="82D82692">
      <w:start w:val="24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061184">
    <w:abstractNumId w:val="2"/>
  </w:num>
  <w:num w:numId="2" w16cid:durableId="150680395">
    <w:abstractNumId w:val="3"/>
  </w:num>
  <w:num w:numId="3" w16cid:durableId="69018746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39145">
    <w:abstractNumId w:val="0"/>
  </w:num>
  <w:num w:numId="5" w16cid:durableId="642736687">
    <w:abstractNumId w:val="1"/>
  </w:num>
  <w:num w:numId="6" w16cid:durableId="298537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A"/>
    <w:rsid w:val="00027240"/>
    <w:rsid w:val="00032539"/>
    <w:rsid w:val="00033F30"/>
    <w:rsid w:val="00035675"/>
    <w:rsid w:val="000671CB"/>
    <w:rsid w:val="00072EBB"/>
    <w:rsid w:val="000979C2"/>
    <w:rsid w:val="00097C5B"/>
    <w:rsid w:val="000A7E9B"/>
    <w:rsid w:val="000C1C6A"/>
    <w:rsid w:val="000C402D"/>
    <w:rsid w:val="000C59D9"/>
    <w:rsid w:val="000D513E"/>
    <w:rsid w:val="000E6332"/>
    <w:rsid w:val="000F561B"/>
    <w:rsid w:val="00106B00"/>
    <w:rsid w:val="00116C88"/>
    <w:rsid w:val="00132B5B"/>
    <w:rsid w:val="00152EAE"/>
    <w:rsid w:val="00173DAB"/>
    <w:rsid w:val="001769EA"/>
    <w:rsid w:val="0018046F"/>
    <w:rsid w:val="00196D89"/>
    <w:rsid w:val="001B26D5"/>
    <w:rsid w:val="001B3E29"/>
    <w:rsid w:val="001C632A"/>
    <w:rsid w:val="001D525C"/>
    <w:rsid w:val="001E04C9"/>
    <w:rsid w:val="001F28D5"/>
    <w:rsid w:val="001F59F0"/>
    <w:rsid w:val="00223512"/>
    <w:rsid w:val="00247689"/>
    <w:rsid w:val="00260A56"/>
    <w:rsid w:val="002621CA"/>
    <w:rsid w:val="0026612B"/>
    <w:rsid w:val="00272634"/>
    <w:rsid w:val="00274BAD"/>
    <w:rsid w:val="002766CE"/>
    <w:rsid w:val="00277E7F"/>
    <w:rsid w:val="0028023B"/>
    <w:rsid w:val="002A4C36"/>
    <w:rsid w:val="002B1F24"/>
    <w:rsid w:val="002C68EA"/>
    <w:rsid w:val="003278BE"/>
    <w:rsid w:val="00346E6A"/>
    <w:rsid w:val="00356760"/>
    <w:rsid w:val="00366B73"/>
    <w:rsid w:val="003760AB"/>
    <w:rsid w:val="0038181A"/>
    <w:rsid w:val="00385295"/>
    <w:rsid w:val="00390ADD"/>
    <w:rsid w:val="00391717"/>
    <w:rsid w:val="003C7E1C"/>
    <w:rsid w:val="003D3F12"/>
    <w:rsid w:val="003D4FFC"/>
    <w:rsid w:val="003E698B"/>
    <w:rsid w:val="00400DCF"/>
    <w:rsid w:val="00423A25"/>
    <w:rsid w:val="004375DF"/>
    <w:rsid w:val="00452F77"/>
    <w:rsid w:val="00455B92"/>
    <w:rsid w:val="0046198E"/>
    <w:rsid w:val="0048225A"/>
    <w:rsid w:val="0048393B"/>
    <w:rsid w:val="004A1068"/>
    <w:rsid w:val="004A795B"/>
    <w:rsid w:val="004C0717"/>
    <w:rsid w:val="004C229F"/>
    <w:rsid w:val="004E3816"/>
    <w:rsid w:val="00505CA3"/>
    <w:rsid w:val="00514097"/>
    <w:rsid w:val="005147CA"/>
    <w:rsid w:val="00517EA7"/>
    <w:rsid w:val="00527235"/>
    <w:rsid w:val="0053339B"/>
    <w:rsid w:val="00553D33"/>
    <w:rsid w:val="00554C83"/>
    <w:rsid w:val="00562DEB"/>
    <w:rsid w:val="00565655"/>
    <w:rsid w:val="005B3A72"/>
    <w:rsid w:val="005C13CA"/>
    <w:rsid w:val="005C5442"/>
    <w:rsid w:val="005E3DA1"/>
    <w:rsid w:val="005F6804"/>
    <w:rsid w:val="00600689"/>
    <w:rsid w:val="006102E1"/>
    <w:rsid w:val="006204C1"/>
    <w:rsid w:val="00622EE7"/>
    <w:rsid w:val="00645B82"/>
    <w:rsid w:val="006557A0"/>
    <w:rsid w:val="00660FA8"/>
    <w:rsid w:val="00667B20"/>
    <w:rsid w:val="006727CD"/>
    <w:rsid w:val="00697CA0"/>
    <w:rsid w:val="006B3A74"/>
    <w:rsid w:val="006D34BC"/>
    <w:rsid w:val="006E517B"/>
    <w:rsid w:val="006F0B12"/>
    <w:rsid w:val="006F75D5"/>
    <w:rsid w:val="007075FB"/>
    <w:rsid w:val="007104E3"/>
    <w:rsid w:val="00710E3C"/>
    <w:rsid w:val="007343F9"/>
    <w:rsid w:val="00775FCE"/>
    <w:rsid w:val="00780477"/>
    <w:rsid w:val="007D0D71"/>
    <w:rsid w:val="007E5728"/>
    <w:rsid w:val="0082221A"/>
    <w:rsid w:val="00835965"/>
    <w:rsid w:val="00840E5B"/>
    <w:rsid w:val="0085744C"/>
    <w:rsid w:val="00871ACC"/>
    <w:rsid w:val="00874589"/>
    <w:rsid w:val="008B1F29"/>
    <w:rsid w:val="008C5591"/>
    <w:rsid w:val="008D74FA"/>
    <w:rsid w:val="008D7898"/>
    <w:rsid w:val="008E075A"/>
    <w:rsid w:val="008F5BFA"/>
    <w:rsid w:val="00904B16"/>
    <w:rsid w:val="009079B1"/>
    <w:rsid w:val="00911E46"/>
    <w:rsid w:val="00921928"/>
    <w:rsid w:val="00941249"/>
    <w:rsid w:val="00942A19"/>
    <w:rsid w:val="00943597"/>
    <w:rsid w:val="0096035F"/>
    <w:rsid w:val="00992634"/>
    <w:rsid w:val="009A498C"/>
    <w:rsid w:val="009B428E"/>
    <w:rsid w:val="009B4328"/>
    <w:rsid w:val="009C2FC6"/>
    <w:rsid w:val="009E379D"/>
    <w:rsid w:val="009F3848"/>
    <w:rsid w:val="00A00FAD"/>
    <w:rsid w:val="00A14261"/>
    <w:rsid w:val="00A328C8"/>
    <w:rsid w:val="00A35295"/>
    <w:rsid w:val="00A35521"/>
    <w:rsid w:val="00A63F15"/>
    <w:rsid w:val="00A77208"/>
    <w:rsid w:val="00A809EE"/>
    <w:rsid w:val="00A95E1A"/>
    <w:rsid w:val="00AA093A"/>
    <w:rsid w:val="00AC420E"/>
    <w:rsid w:val="00AC44A5"/>
    <w:rsid w:val="00AC5480"/>
    <w:rsid w:val="00AD3EBC"/>
    <w:rsid w:val="00AE208A"/>
    <w:rsid w:val="00AE4E6B"/>
    <w:rsid w:val="00AE7B5C"/>
    <w:rsid w:val="00B34DA5"/>
    <w:rsid w:val="00B46C05"/>
    <w:rsid w:val="00B46FD2"/>
    <w:rsid w:val="00B50B65"/>
    <w:rsid w:val="00B75BE8"/>
    <w:rsid w:val="00B83065"/>
    <w:rsid w:val="00B85955"/>
    <w:rsid w:val="00B9108D"/>
    <w:rsid w:val="00BB3876"/>
    <w:rsid w:val="00BD31C2"/>
    <w:rsid w:val="00BF54F9"/>
    <w:rsid w:val="00C02BC7"/>
    <w:rsid w:val="00C105DD"/>
    <w:rsid w:val="00C213AA"/>
    <w:rsid w:val="00C357B9"/>
    <w:rsid w:val="00C45663"/>
    <w:rsid w:val="00C6140C"/>
    <w:rsid w:val="00C64F38"/>
    <w:rsid w:val="00CA129B"/>
    <w:rsid w:val="00CA211D"/>
    <w:rsid w:val="00CA4BFC"/>
    <w:rsid w:val="00CF02AA"/>
    <w:rsid w:val="00D02857"/>
    <w:rsid w:val="00D252BD"/>
    <w:rsid w:val="00D308D6"/>
    <w:rsid w:val="00D346BD"/>
    <w:rsid w:val="00D428B3"/>
    <w:rsid w:val="00D43185"/>
    <w:rsid w:val="00D52E74"/>
    <w:rsid w:val="00D606CB"/>
    <w:rsid w:val="00D63814"/>
    <w:rsid w:val="00D778C0"/>
    <w:rsid w:val="00D77C6D"/>
    <w:rsid w:val="00D85254"/>
    <w:rsid w:val="00DA1888"/>
    <w:rsid w:val="00DA7DAB"/>
    <w:rsid w:val="00DB1B0D"/>
    <w:rsid w:val="00DB442C"/>
    <w:rsid w:val="00DD0E0A"/>
    <w:rsid w:val="00DD1423"/>
    <w:rsid w:val="00DE53E8"/>
    <w:rsid w:val="00DF6A48"/>
    <w:rsid w:val="00E121CE"/>
    <w:rsid w:val="00E22794"/>
    <w:rsid w:val="00E22A1F"/>
    <w:rsid w:val="00E661E9"/>
    <w:rsid w:val="00EA4150"/>
    <w:rsid w:val="00ED60BC"/>
    <w:rsid w:val="00F043A8"/>
    <w:rsid w:val="00F129C3"/>
    <w:rsid w:val="00F14406"/>
    <w:rsid w:val="00F27518"/>
    <w:rsid w:val="00F525BB"/>
    <w:rsid w:val="00F834C9"/>
    <w:rsid w:val="00F8611E"/>
    <w:rsid w:val="00F90627"/>
    <w:rsid w:val="00FA7A11"/>
    <w:rsid w:val="00FB1E11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DBB513"/>
  <w15:docId w15:val="{53D4CE6E-70B1-4779-A10D-69E543FB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9E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BC64-E2BD-4024-B32D-711C8317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Claudia</cp:lastModifiedBy>
  <cp:revision>25</cp:revision>
  <cp:lastPrinted>2018-04-04T17:47:00Z</cp:lastPrinted>
  <dcterms:created xsi:type="dcterms:W3CDTF">2022-04-25T23:51:00Z</dcterms:created>
  <dcterms:modified xsi:type="dcterms:W3CDTF">2022-04-28T14:22:00Z</dcterms:modified>
</cp:coreProperties>
</file>